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xmlns:wp14="http://schemas.microsoft.com/office/word/2010/wordml" w:rsidR="008C2AF6" w:rsidP="755E267C" w:rsidRDefault="008C2AF6" w14:paraId="51AB755A" wp14:textId="03FCE522">
      <w:pPr>
        <w:jc w:val="center"/>
        <w:rPr>
          <w:rFonts w:ascii="Arial" w:hAnsi="Arial" w:cs="Arial"/>
          <w:i w:val="1"/>
          <w:iCs w:val="1"/>
          <w:sz w:val="22"/>
          <w:szCs w:val="22"/>
        </w:rPr>
      </w:pPr>
      <w:r w:rsidRPr="755E267C" w:rsidR="008C2AF6">
        <w:rPr>
          <w:rFonts w:ascii="Arial" w:hAnsi="Arial" w:cs="Arial"/>
          <w:b w:val="1"/>
          <w:bCs w:val="1"/>
          <w:lang w:eastAsia="pl-PL"/>
        </w:rPr>
        <w:t>KARTA KURSU</w:t>
      </w:r>
    </w:p>
    <w:p xmlns:wp14="http://schemas.microsoft.com/office/word/2010/wordml" w:rsidR="008C2AF6" w:rsidRDefault="008C2AF6" w14:paraId="3E6E76E6" wp14:textId="77777777">
      <w:pPr>
        <w:jc w:val="center"/>
      </w:pPr>
      <w:r>
        <w:rPr>
          <w:rFonts w:ascii="Arial" w:hAnsi="Arial" w:cs="Arial"/>
          <w:b/>
          <w:bCs/>
          <w:lang w:eastAsia="pl-PL"/>
        </w:rPr>
        <w:t>(realizowanego w module specjalności)</w:t>
      </w:r>
    </w:p>
    <w:p xmlns:wp14="http://schemas.microsoft.com/office/word/2010/wordml" w:rsidR="008C2AF6" w:rsidRDefault="008C2AF6" w14:paraId="5DAB6C7B" wp14:textId="77777777">
      <w:pPr>
        <w:keepNext/>
        <w:jc w:val="center"/>
      </w:pPr>
    </w:p>
    <w:p xmlns:wp14="http://schemas.microsoft.com/office/word/2010/wordml" w:rsidR="008C2AF6" w:rsidRDefault="008C2AF6" w14:paraId="02EB378F" wp14:textId="77777777">
      <w:pPr>
        <w:keepNext/>
        <w:jc w:val="center"/>
        <w:rPr>
          <w:rFonts w:ascii="Arial" w:hAnsi="Arial" w:cs="Arial"/>
          <w:b/>
          <w:bCs/>
          <w:lang w:eastAsia="pl-PL"/>
        </w:rPr>
      </w:pPr>
    </w:p>
    <w:p xmlns:wp14="http://schemas.microsoft.com/office/word/2010/wordml" w:rsidR="008C2AF6" w:rsidRDefault="008C2AF6" w14:paraId="2E401D84" wp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JĘZYKI SPECJALISTYCZNE I TŁUMACZENIE</w:t>
      </w:r>
    </w:p>
    <w:p xmlns:wp14="http://schemas.microsoft.com/office/word/2010/wordml" w:rsidR="008C2AF6" w:rsidRDefault="008C2AF6" w14:paraId="1DD52162" wp14:textId="77777777">
      <w:pPr>
        <w:keepNext/>
        <w:jc w:val="center"/>
      </w:pPr>
      <w:r>
        <w:rPr>
          <w:rFonts w:ascii="Arial" w:hAnsi="Arial" w:cs="Arial"/>
          <w:b/>
          <w:bCs/>
          <w:lang w:eastAsia="pl-PL"/>
        </w:rPr>
        <w:t>(nazwa specjalności)</w:t>
      </w:r>
    </w:p>
    <w:p xmlns:wp14="http://schemas.microsoft.com/office/word/2010/wordml" w:rsidR="008C2AF6" w:rsidRDefault="008C2AF6" w14:paraId="6A05A809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5A39BBE3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41C8F396" wp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75"/>
      </w:tblGrid>
      <w:tr xmlns:wp14="http://schemas.microsoft.com/office/word/2010/wordml" w:rsidR="008C2AF6" w:rsidTr="44E1485B" w14:paraId="445856ED" wp14:textId="77777777"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5480EF1D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8C2AF6" w:rsidP="0DF2E903" w:rsidRDefault="00705538" w14:paraId="159978EA" wp14:textId="5D7F9344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jc w:val="center"/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</w:pPr>
            <w:r w:rsidRPr="0DF2E903" w:rsidR="1FD0E43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Język specjalistyczny I (</w:t>
            </w:r>
            <w:r w:rsidRPr="0DF2E903" w:rsidR="1AEDF98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 xml:space="preserve">Ekonomia i </w:t>
            </w:r>
            <w:r w:rsidRPr="0DF2E903" w:rsidR="75A57AD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p</w:t>
            </w:r>
            <w:r w:rsidRPr="0DF2E903" w:rsidR="1AEDF98B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rawo</w:t>
            </w:r>
            <w:r w:rsidRPr="0DF2E903" w:rsidR="1FD0E433">
              <w:rPr>
                <w:rFonts w:ascii="Arial" w:hAnsi="Arial" w:cs="Arial"/>
                <w:color w:val="000000" w:themeColor="text1" w:themeTint="FF" w:themeShade="FF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391581" w:rsidR="008C2AF6" w:rsidTr="44E1485B" w14:paraId="788B9CC6" wp14:textId="77777777">
        <w:trPr>
          <w:trHeight w:val="379"/>
        </w:trPr>
        <w:tc>
          <w:tcPr>
            <w:tcW w:w="198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1595C287" wp14:textId="77777777">
            <w:pPr>
              <w:autoSpaceDE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7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Pr="00391581" w:rsidR="008C2AF6" w:rsidP="44E1485B" w:rsidRDefault="008C2AF6" w14:paraId="091802C8" wp14:textId="13B94F1E">
            <w:pPr>
              <w:pBdr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</w:pBdr>
              <w:spacing w:before="60" w:after="60"/>
              <w:jc w:val="center"/>
              <w:rPr>
                <w:lang w:val="en-GB"/>
              </w:rPr>
            </w:pPr>
            <w:r w:rsidRPr="44E1485B" w:rsidR="008C2AF6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Language for Specific Purposes </w:t>
            </w:r>
            <w:r w:rsidRPr="44E1485B" w:rsidR="1FD0E433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I</w:t>
            </w:r>
            <w:r w:rsidRPr="44E1485B" w:rsidR="008C2AF6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 (</w:t>
            </w:r>
            <w:r w:rsidRPr="44E1485B" w:rsidR="1FD0E433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Economics</w:t>
            </w:r>
            <w:r w:rsidRPr="44E1485B" w:rsidR="227A43E5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 xml:space="preserve"> and </w:t>
            </w:r>
            <w:r w:rsidRPr="44E1485B" w:rsidR="072B8CE2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L</w:t>
            </w:r>
            <w:r w:rsidRPr="44E1485B" w:rsidR="227A43E5">
              <w:rPr>
                <w:rFonts w:ascii="Arial" w:hAnsi="Arial" w:cs="Arial"/>
                <w:i w:val="1"/>
                <w:iCs w:val="1"/>
                <w:sz w:val="20"/>
                <w:szCs w:val="20"/>
                <w:lang w:val="en-US"/>
              </w:rPr>
              <w:t>aw</w:t>
            </w:r>
            <w:r w:rsidRPr="44E1485B" w:rsidR="008C2AF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</w:tr>
    </w:tbl>
    <w:p xmlns:wp14="http://schemas.microsoft.com/office/word/2010/wordml" w:rsidRPr="00391581" w:rsidR="008C2AF6" w:rsidRDefault="008C2AF6" w14:paraId="72A3D3EC" wp14:textId="77777777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81"/>
      </w:tblGrid>
      <w:tr xmlns:wp14="http://schemas.microsoft.com/office/word/2010/wordml" w:rsidR="008C2AF6" w:rsidTr="74005FF5" w14:paraId="684F45F3" wp14:textId="77777777">
        <w:trPr>
          <w:cantSplit/>
        </w:trPr>
        <w:tc>
          <w:tcPr>
            <w:tcW w:w="3189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69C2AF6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P="04EBEE4F" w:rsidRDefault="00391581" w14:paraId="7ED15DCF" wp14:textId="03BB25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4EBEE4F" w:rsidR="1B208152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8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B1FB2F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xmlns:wp14="http://schemas.microsoft.com/office/word/2010/wordml" w:rsidR="008C2AF6" w:rsidTr="74005FF5" w14:paraId="457E800E" wp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C2AF6" w:rsidRDefault="008C2AF6" w14:paraId="0D0B940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C2AF6" w:rsidRDefault="008C2AF6" w14:paraId="0E27B00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tcMar/>
            <w:vAlign w:val="center"/>
          </w:tcPr>
          <w:p w:rsidR="0059665E" w:rsidP="74005FF5" w:rsidRDefault="0059665E" w14:paraId="42F35DD1" wp14:textId="54F4EC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74005FF5" w:rsidR="3E7AA7B4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  <w:tr xmlns:wp14="http://schemas.microsoft.com/office/word/2010/wordml" w:rsidR="008C2AF6" w:rsidTr="74005FF5" w14:paraId="60061E4C" wp14:textId="77777777">
        <w:trPr>
          <w:cantSplit/>
          <w:trHeight w:val="57"/>
        </w:trPr>
        <w:tc>
          <w:tcPr>
            <w:tcW w:w="3189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44EAFD9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4B94D5A5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81" w:type="dxa"/>
            <w:vMerge/>
            <w:tcBorders/>
            <w:tcMar/>
            <w:vAlign w:val="center"/>
          </w:tcPr>
          <w:p w:rsidR="008C2AF6" w:rsidRDefault="008C2AF6" w14:paraId="3DEEC669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:rsidTr="74005FF5" w14:paraId="3A45FB00" wp14:textId="77777777">
        <w:trPr>
          <w:cantSplit/>
        </w:trPr>
        <w:tc>
          <w:tcPr>
            <w:tcW w:w="318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tcMar/>
            <w:vAlign w:val="center"/>
          </w:tcPr>
          <w:p w:rsidR="008C2AF6" w:rsidRDefault="008C2AF6" w14:paraId="70ABD06F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tcMar/>
            <w:vAlign w:val="center"/>
          </w:tcPr>
          <w:p w:rsidR="008C2AF6" w:rsidRDefault="008C2AF6" w14:paraId="5FCD5EC4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81" w:type="dxa"/>
            <w:vMerge/>
            <w:tcBorders/>
            <w:tcMar/>
            <w:vAlign w:val="center"/>
          </w:tcPr>
          <w:p w:rsidR="008C2AF6" w:rsidRDefault="008C2AF6" w14:paraId="3656B9A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45FB0818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C2AF6" w:rsidRDefault="008C2AF6" w14:paraId="049F31CB" wp14:textId="77777777">
      <w:pPr>
        <w:jc w:val="center"/>
        <w:rPr>
          <w:rFonts w:ascii="Arial" w:hAnsi="Arial" w:cs="Arial"/>
          <w:sz w:val="20"/>
          <w:szCs w:val="20"/>
        </w:rPr>
      </w:pPr>
    </w:p>
    <w:p xmlns:wp14="http://schemas.microsoft.com/office/word/2010/wordml" w:rsidR="008C2AF6" w:rsidRDefault="008C2AF6" w14:paraId="53128261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62486C05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101652C" wp14:textId="77777777">
      <w:pPr>
        <w:jc w:val="center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B99056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188016C" wp14:textId="77777777">
      <w:r>
        <w:rPr>
          <w:rFonts w:ascii="Arial" w:hAnsi="Arial" w:cs="Arial"/>
          <w:sz w:val="22"/>
          <w:szCs w:val="16"/>
        </w:rPr>
        <w:t>Opis kursu (cele kształcenia)</w:t>
      </w:r>
    </w:p>
    <w:p xmlns:wp14="http://schemas.microsoft.com/office/word/2010/wordml" w:rsidR="008C2AF6" w:rsidRDefault="008C2AF6" w14:paraId="1299C43A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80"/>
      </w:tblGrid>
      <w:tr xmlns:wp14="http://schemas.microsoft.com/office/word/2010/wordml" w:rsidR="008C2AF6" w14:paraId="255FF72E" wp14:textId="77777777">
        <w:trPr>
          <w:trHeight w:val="1365"/>
        </w:trPr>
        <w:tc>
          <w:tcPr>
            <w:tcW w:w="968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0A19B5AD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Podstawowym celem kursu jest zdobycie praktycznych umiejętności analizowania i tworzenia tekstów specjalistycznych. Ćwiczenia leksykalne, utrwalanie najważniejszych struktur gramatycznych, ćwiczenia rozumienia ze słuchu, analiza tekstów pisanych i szereg ćwiczeń konwersacyjnych pozwolą studentom poznać i opanować podstawową terminologię z zakresu języka biznesu i prawa oraz pomogą im przygotować się pod względem językowym do pracy w hiszpańskojęzycznych strukturach administracyjno-prawnych.</w:t>
            </w:r>
          </w:p>
        </w:tc>
      </w:tr>
    </w:tbl>
    <w:p xmlns:wp14="http://schemas.microsoft.com/office/word/2010/wordml" w:rsidR="008C2AF6" w:rsidRDefault="008C2AF6" w14:paraId="4DDBEF0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61D779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8A9EB4F" wp14:textId="77777777">
      <w:r>
        <w:rPr>
          <w:rFonts w:ascii="Arial" w:hAnsi="Arial" w:cs="Arial"/>
          <w:sz w:val="22"/>
          <w:szCs w:val="16"/>
        </w:rPr>
        <w:t>Warunki wstępne</w:t>
      </w:r>
    </w:p>
    <w:p xmlns:wp14="http://schemas.microsoft.com/office/word/2010/wordml" w:rsidR="008C2AF6" w:rsidRDefault="008C2AF6" w14:paraId="3CF2D8B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3EB6EEC1" wp14:textId="77777777">
        <w:trPr>
          <w:trHeight w:val="550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270A427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3AB02B9" wp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xmlns:wp14="http://schemas.microsoft.com/office/word/2010/wordml" w:rsidR="008C2AF6" w14:paraId="3953D4E8" wp14:textId="77777777">
        <w:trPr>
          <w:trHeight w:val="577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A0AA4D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D69300C" wp14:textId="77777777">
            <w:pPr>
              <w:autoSpaceDE/>
            </w:pPr>
            <w:r>
              <w:rPr>
                <w:rFonts w:ascii="Arial" w:hAnsi="Arial" w:cs="Arial"/>
                <w:sz w:val="22"/>
                <w:szCs w:val="16"/>
              </w:rPr>
              <w:t>J. hiszpański na poziomie B</w:t>
            </w:r>
            <w:r w:rsidR="00CD5E34">
              <w:rPr>
                <w:rFonts w:ascii="Arial" w:hAnsi="Arial" w:cs="Arial"/>
                <w:sz w:val="22"/>
                <w:szCs w:val="16"/>
              </w:rPr>
              <w:t>2</w:t>
            </w:r>
          </w:p>
        </w:tc>
      </w:tr>
      <w:tr xmlns:wp14="http://schemas.microsoft.com/office/word/2010/wordml" w:rsidR="008C2AF6" w14:paraId="117EAD5A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0AD1E41" wp14:textId="77777777">
            <w:pPr>
              <w:autoSpaceDE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7C0A7C82" wp14:textId="77777777">
            <w:pPr>
              <w:autoSpaceDE/>
              <w:spacing w:before="114" w:after="114"/>
            </w:pPr>
            <w:r>
              <w:rPr>
                <w:rFonts w:ascii="Arial" w:hAnsi="Arial" w:cs="Arial"/>
                <w:sz w:val="22"/>
                <w:szCs w:val="16"/>
              </w:rPr>
              <w:t>Podstawy przekładu tekstów specjalistycznych</w:t>
            </w:r>
          </w:p>
        </w:tc>
      </w:tr>
    </w:tbl>
    <w:p xmlns:wp14="http://schemas.microsoft.com/office/word/2010/wordml" w:rsidR="008C2AF6" w:rsidRDefault="008C2AF6" w14:paraId="0FB78278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1FC39945" wp14:textId="77777777">
      <w:pPr>
        <w:rPr>
          <w:rFonts w:ascii="Arial" w:hAnsi="Arial" w:cs="Arial"/>
          <w:sz w:val="22"/>
          <w:szCs w:val="14"/>
        </w:rPr>
      </w:pPr>
    </w:p>
    <w:p xmlns:wp14="http://schemas.microsoft.com/office/word/2010/wordml" w:rsidR="008C2AF6" w:rsidRDefault="008C2AF6" w14:paraId="2B881225" wp14:textId="77777777">
      <w:pPr>
        <w:pageBreakBefore/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xmlns:wp14="http://schemas.microsoft.com/office/word/2010/wordml" w:rsidR="008C2AF6" w:rsidRDefault="008C2AF6" w14:paraId="0562CB0E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405"/>
      </w:tblGrid>
      <w:tr xmlns:wp14="http://schemas.microsoft.com/office/word/2010/wordml" w:rsidR="008C2AF6" w:rsidTr="755E267C" w14:paraId="4D423CE4" wp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1EE364D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55E267C" w:rsidRDefault="008C2AF6" w14:paraId="153C8211" wp14:textId="57BBF8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41284760">
              <w:rPr>
                <w:rFonts w:ascii="Arial" w:hAnsi="Arial" w:cs="Arial"/>
                <w:sz w:val="20"/>
                <w:szCs w:val="20"/>
              </w:rPr>
              <w:t>ucz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>enia</w:t>
            </w:r>
            <w:r w:rsidRPr="755E267C" w:rsidR="46A6D17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728487E8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55E267C" w14:paraId="4B082094" wp14:textId="77777777">
        <w:trPr>
          <w:cantSplit/>
          <w:trHeight w:val="630"/>
        </w:trPr>
        <w:tc>
          <w:tcPr>
            <w:tcW w:w="1979" w:type="dxa"/>
            <w:vMerge/>
            <w:tcBorders/>
            <w:tcMar/>
            <w:vAlign w:val="center"/>
          </w:tcPr>
          <w:p w:rsidR="008C2AF6" w:rsidRDefault="008C2AF6" w14:paraId="34CE0A41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0A00DDF2" wp14:textId="77777777">
            <w:r>
              <w:rPr>
                <w:rFonts w:ascii="Arial" w:hAnsi="Arial" w:cs="Arial"/>
                <w:sz w:val="20"/>
                <w:szCs w:val="20"/>
              </w:rPr>
              <w:t>W01: posiada znajomość podstawowej terminologii hiszpańskiego języka prawnego i prawniczego;</w:t>
            </w:r>
          </w:p>
        </w:tc>
        <w:tc>
          <w:tcPr>
            <w:tcW w:w="240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5CBA545D" wp14:textId="77777777"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8C2AF6" w:rsidRDefault="008C2AF6" w14:paraId="62EBF3C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6D98A12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946DB8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xmlns:wp14="http://schemas.microsoft.com/office/word/2010/wordml" w:rsidR="008C2AF6" w:rsidTr="755E267C" w14:paraId="26687BCE" wp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04BB5B39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55E267C" w:rsidRDefault="008C2AF6" w14:paraId="160C3338" wp14:textId="5E5B9D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04B7E1A2">
              <w:rPr>
                <w:rFonts w:ascii="Arial" w:hAnsi="Arial" w:cs="Arial"/>
                <w:sz w:val="20"/>
                <w:szCs w:val="20"/>
              </w:rPr>
              <w:t>ucz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>enia</w:t>
            </w:r>
            <w:r w:rsidRPr="755E267C" w:rsidR="72C5DDC7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29810692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55E267C" w14:paraId="4A4EF5F9" wp14:textId="77777777">
        <w:trPr>
          <w:cantSplit/>
          <w:trHeight w:val="2116"/>
        </w:trPr>
        <w:tc>
          <w:tcPr>
            <w:tcW w:w="1985" w:type="dxa"/>
            <w:vMerge/>
            <w:tcBorders/>
            <w:tcMar/>
            <w:vAlign w:val="center"/>
          </w:tcPr>
          <w:p w:rsidR="008C2AF6" w:rsidRDefault="008C2AF6" w14:paraId="5997CC1D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10D4E292" wp14:textId="77777777">
            <w:r>
              <w:rPr>
                <w:rFonts w:ascii="Arial" w:hAnsi="Arial" w:cs="Arial"/>
                <w:sz w:val="20"/>
                <w:szCs w:val="20"/>
              </w:rPr>
              <w:t>U01: umiejętność wyszukiwania, selekcjonowania i użytkowania informacji z zakresu specjalistycznego języka hiszpańskiego z wykorzystaniem różnych źródeł i sposobów;</w:t>
            </w:r>
          </w:p>
          <w:p w:rsidR="008C2AF6" w:rsidRDefault="008C2AF6" w14:paraId="65049D2E" wp14:textId="77777777">
            <w:r>
              <w:rPr>
                <w:rFonts w:ascii="Arial" w:hAnsi="Arial" w:cs="Arial"/>
                <w:sz w:val="20"/>
                <w:szCs w:val="20"/>
              </w:rPr>
              <w:t>U02: posiada umiejętność przygotowania typowych dla dziedziny prawno-administracyjnej prac pisemnych i wystąpień ustnych w języku hiszpańskim dotyczących zagadnień z dziedziny prawno-administracyjnej w typowych sytuacjach zawodowych;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01A6CC39" wp14:textId="77777777"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8C2AF6" w:rsidRDefault="008C2AF6" w14:paraId="110FFD37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699379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3FE9F23F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F72F646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1D567F71" wp14:textId="77777777"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  <w:p w:rsidR="008C2AF6" w:rsidRDefault="008C2AF6" w14:paraId="08CE6F91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1CDCEAD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6BB9E253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AF6" w:rsidRDefault="008C2AF6" w14:paraId="23DE523C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52E5622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07547A01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50"/>
      </w:tblGrid>
      <w:tr xmlns:wp14="http://schemas.microsoft.com/office/word/2010/wordml" w:rsidR="008C2AF6" w:rsidTr="755E267C" w14:paraId="2196DA88" wp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2C1ECD84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tcMar/>
            <w:vAlign w:val="center"/>
          </w:tcPr>
          <w:p w:rsidR="008C2AF6" w:rsidP="755E267C" w:rsidRDefault="008C2AF6" w14:paraId="570445C1" wp14:textId="06319DC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55E267C" w:rsidR="31A2A195">
              <w:rPr>
                <w:rFonts w:ascii="Arial" w:hAnsi="Arial" w:cs="Arial"/>
                <w:sz w:val="20"/>
                <w:szCs w:val="20"/>
              </w:rPr>
              <w:t>ucze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>nia</w:t>
            </w:r>
            <w:r w:rsidRPr="755E267C" w:rsidR="5EDAEC3A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55E267C" w:rsidR="008C2AF6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DBE5F1"/>
            <w:tcMar/>
            <w:vAlign w:val="center"/>
          </w:tcPr>
          <w:p w:rsidR="008C2AF6" w:rsidRDefault="008C2AF6" w14:paraId="45E9F00B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xmlns:wp14="http://schemas.microsoft.com/office/word/2010/wordml" w:rsidR="008C2AF6" w:rsidTr="755E267C" w14:paraId="602796C0" wp14:textId="77777777">
        <w:trPr>
          <w:cantSplit/>
          <w:trHeight w:val="850"/>
        </w:trPr>
        <w:tc>
          <w:tcPr>
            <w:tcW w:w="1985" w:type="dxa"/>
            <w:vMerge/>
            <w:tcBorders/>
            <w:tcMar/>
            <w:vAlign w:val="center"/>
          </w:tcPr>
          <w:p w:rsidR="008C2AF6" w:rsidRDefault="008C2AF6" w14:paraId="5043CB0F" wp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tcMar/>
          </w:tcPr>
          <w:p w:rsidR="008C2AF6" w:rsidRDefault="008C2AF6" w14:paraId="3694239B" wp14:textId="77777777">
            <w:r>
              <w:rPr>
                <w:rFonts w:ascii="Arial" w:hAnsi="Arial" w:cs="Arial"/>
                <w:sz w:val="20"/>
                <w:szCs w:val="20"/>
              </w:rPr>
              <w:t>K01: potrafi współdziałać i pracować w grupie, w tym w sytuacjach zawodowych, koordynować działania grupy, wyznaczać i realizować różne obowiązki</w:t>
            </w:r>
          </w:p>
        </w:tc>
        <w:tc>
          <w:tcPr>
            <w:tcW w:w="24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tcMar/>
          </w:tcPr>
          <w:p w:rsidR="008C2AF6" w:rsidRDefault="008C2AF6" w14:paraId="1850DF5A" wp14:textId="77777777"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  <w:p w:rsidR="008C2AF6" w:rsidRDefault="008C2AF6" w14:paraId="07459315" wp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6537F28F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6DFB9E20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0DF9E56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304"/>
      </w:tblGrid>
      <w:tr xmlns:wp14="http://schemas.microsoft.com/office/word/2010/wordml" w:rsidR="008C2AF6" w14:paraId="68A6B712" wp14:textId="77777777">
        <w:trPr>
          <w:cantSplit/>
          <w:trHeight w:val="424" w:hRule="exact"/>
        </w:trPr>
        <w:tc>
          <w:tcPr>
            <w:tcW w:w="9660" w:type="dxa"/>
            <w:gridSpan w:val="14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AF261C4" wp14:textId="77777777">
            <w:pPr>
              <w:pStyle w:val="Zawartotabeli"/>
              <w:spacing w:before="57" w:after="57"/>
              <w:ind w:left="45" w:right="13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xmlns:wp14="http://schemas.microsoft.com/office/word/2010/wordml" w:rsidR="008C2AF6" w14:paraId="4B150495" wp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0210DDEC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5FDC3BE2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C2AF6" w:rsidRDefault="008C2AF6" w14:paraId="34DCCE68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24" w:type="dxa"/>
            <w:gridSpan w:val="1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63B3AB60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xmlns:wp14="http://schemas.microsoft.com/office/word/2010/wordml" w:rsidR="008C2AF6" w14:paraId="53F2F122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44E871B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44A5D23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5316D17B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38610EB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336E69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637805D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1FE9768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463F29E8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066DDAA3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3B7B4B8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79E7D876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3A0FF5F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</w:tcBorders>
            <w:shd w:val="clear" w:color="auto" w:fill="auto"/>
            <w:vAlign w:val="center"/>
          </w:tcPr>
          <w:p w:rsidR="008C2AF6" w:rsidRDefault="008C2AF6" w14:paraId="65AEDD99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304" w:type="dxa"/>
            <w:tcBorders>
              <w:top w:val="single" w:color="C0C0C0" w:sz="2" w:space="0"/>
              <w:left w:val="single" w:color="C0C0C0" w:sz="2" w:space="0"/>
              <w:bottom w:val="single" w:color="C0C0C0" w:sz="2" w:space="0"/>
              <w:right w:val="single" w:color="C0C0C0" w:sz="2" w:space="0"/>
            </w:tcBorders>
            <w:shd w:val="clear" w:color="auto" w:fill="auto"/>
            <w:vAlign w:val="center"/>
          </w:tcPr>
          <w:p w:rsidR="008C2AF6" w:rsidRDefault="008C2AF6" w14:paraId="5630AD6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14:paraId="2D18794C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6C32A60D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182907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BA226A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19897CE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7AD93B2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0DE4B5B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6204FF1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2DBF0D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xmlns:wp14="http://schemas.microsoft.com/office/word/2010/wordml" w:rsidR="008C2AF6" w14:paraId="6B62F1B3" wp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/>
        </w:trPr>
        <w:tc>
          <w:tcPr>
            <w:tcW w:w="161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02F2C34E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680A4E5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19219836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296FEF7D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7194DBD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769D0D3C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auto"/>
            <w:vAlign w:val="center"/>
          </w:tcPr>
          <w:p w:rsidR="008C2AF6" w:rsidRDefault="008C2AF6" w14:paraId="54CD245A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  <w:vAlign w:val="center"/>
          </w:tcPr>
          <w:p w:rsidR="008C2AF6" w:rsidRDefault="008C2AF6" w14:paraId="1231BE67" wp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xmlns:wp14="http://schemas.microsoft.com/office/word/2010/wordml" w:rsidR="008C2AF6" w:rsidRDefault="008C2AF6" w14:paraId="36FEB5B0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0D7AA69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FEAC4CC" wp14:textId="77777777">
      <w:r>
        <w:rPr>
          <w:rFonts w:ascii="Arial" w:hAnsi="Arial" w:cs="Arial"/>
          <w:sz w:val="22"/>
          <w:szCs w:val="14"/>
        </w:rPr>
        <w:t>Opis metod prowadzenia zajęć</w:t>
      </w:r>
    </w:p>
    <w:p xmlns:wp14="http://schemas.microsoft.com/office/word/2010/wordml" w:rsidR="008C2AF6" w:rsidRDefault="008C2AF6" w14:paraId="7196D06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53C0B46F" wp14:textId="77777777">
        <w:trPr>
          <w:trHeight w:val="675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5C79F433" wp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dużej grupie z nauczycielem: dyskusja moderowana, wspólna analiza tekstów</w:t>
            </w:r>
          </w:p>
          <w:p w:rsidR="008C2AF6" w:rsidRDefault="008C2AF6" w14:paraId="2990AAD4" wp14:textId="77777777"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w małych grupach: swobodna dyskusja, burza mózgów, wzajemna ocena efektów pracy, referowanie stanowiska grupy innym grupom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prawa, administracji i wydarzeń bieżących.</w:t>
            </w:r>
          </w:p>
          <w:p w:rsidR="008C2AF6" w:rsidRDefault="008C2AF6" w14:paraId="2F1C6C02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indywidualna: samodzielne wyszukiwanie tekstów i źródeł, analiza tekstów, sporządzanie glosariuszy, praca z narzędziami informatycznymi, samodzielne tłumaczenie i korekta tekstów</w:t>
            </w:r>
            <w:r w:rsidR="0062217A">
              <w:rPr>
                <w:rFonts w:ascii="Arial" w:hAnsi="Arial" w:eastAsia="Arial" w:cs="Arial"/>
                <w:color w:val="000000"/>
                <w:sz w:val="22"/>
                <w:szCs w:val="22"/>
              </w:rPr>
              <w:t>, praca z terminologią specjalistyczną z dziedziny prawa i administracji</w:t>
            </w:r>
          </w:p>
          <w:p w:rsidR="0062217A" w:rsidRDefault="0062217A" w14:paraId="7B049084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Praca na zasadzie projektu: praca nad dłuższym tekstem w grupach kilkuosobowych; przedstawianie wyników pracy własnej i dyskusja nad pracami pozostałych grup.</w:t>
            </w:r>
          </w:p>
          <w:p w:rsidRPr="0059665E" w:rsidR="00CD5E34" w:rsidRDefault="00AA5E07" w14:paraId="48671D3F" wp14:textId="77777777">
            <w:pPr>
              <w:pStyle w:val="Zawartotabeli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Prezentacja przez studentów wybranych tematów związanych z wydarzeniami bieżącymi – „prasówka”.</w:t>
            </w:r>
          </w:p>
        </w:tc>
      </w:tr>
    </w:tbl>
    <w:p xmlns:wp14="http://schemas.microsoft.com/office/word/2010/wordml" w:rsidR="008C2AF6" w:rsidRDefault="00B901DF" w14:paraId="77B67CF7" wp14:textId="77777777">
      <w:pPr>
        <w:pStyle w:val="Zawartotabeli"/>
        <w:pageBreakBefore/>
      </w:pPr>
      <w:r>
        <w:rPr>
          <w:rFonts w:ascii="Arial" w:hAnsi="Arial" w:cs="Arial"/>
          <w:sz w:val="22"/>
          <w:szCs w:val="16"/>
        </w:rPr>
        <w:t>F</w:t>
      </w:r>
      <w:r w:rsidR="008C2AF6">
        <w:rPr>
          <w:rFonts w:ascii="Arial" w:hAnsi="Arial" w:cs="Arial"/>
          <w:sz w:val="22"/>
          <w:szCs w:val="16"/>
        </w:rPr>
        <w:t>ormy sprawdzania efektów kształcenia</w:t>
      </w:r>
    </w:p>
    <w:p xmlns:wp14="http://schemas.microsoft.com/office/word/2010/wordml" w:rsidR="008C2AF6" w:rsidRDefault="008C2AF6" w14:paraId="34FF1C98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706"/>
      </w:tblGrid>
      <w:tr xmlns:wp14="http://schemas.microsoft.com/office/word/2010/wordml" w:rsidR="008C2AF6" w14:paraId="4D1153E2" wp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D072C0D" wp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79904866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C8172CC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CF9D9E9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6C251738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F7C2B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2402A3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10D266B5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4B3A8CE4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E897B1E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148EF6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354DF962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5C5CF913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="008C2AF6" w:rsidRDefault="008C2AF6" w14:paraId="229D7D00" wp14:textId="77777777">
            <w:pPr>
              <w:ind w:left="113" w:right="113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xmlns:wp14="http://schemas.microsoft.com/office/word/2010/wordml" w:rsidR="008C2AF6" w14:paraId="6EE74CF4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262F74AA" wp14:textId="77777777">
            <w:pPr>
              <w:pStyle w:val="BalloonText1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A21919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9616CD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BD18F9B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8601F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3CABC7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933DB0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F9B2D4E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9B05D7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C9F952" wp14:textId="77777777">
            <w:pPr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08B5D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DEB4AB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AD9C6F4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706A5F31" wp14:textId="77777777">
            <w:pPr>
              <w:snapToGrid w:val="0"/>
              <w:jc w:val="center"/>
            </w:pPr>
            <w:r>
              <w:rPr>
                <w:rFonts w:ascii="Arial" w:hAnsi="Arial" w:cs="Arial"/>
                <w:sz w:val="22"/>
              </w:rPr>
              <w:t>+</w:t>
            </w:r>
          </w:p>
        </w:tc>
      </w:tr>
      <w:tr xmlns:wp14="http://schemas.microsoft.com/office/word/2010/wordml" w:rsidR="008C2AF6" w14:paraId="34242DBF" wp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01083BE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B1F511A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AD57E7D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5F9C3DC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023141B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F3B1409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5326C03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838AA3E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4294D7D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3EABB07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62C75D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64355AD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A965116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B580D68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xmlns:wp14="http://schemas.microsoft.com/office/word/2010/wordml" w:rsidR="008C2AF6" w14:paraId="11988432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301A72B7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DF4E37C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1468B8E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4FB30F8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DA6542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041E394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7D20E00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0393E362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363A10B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3D7E4C9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722B00AE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2C6D796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E1831B3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412DD2B8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  <w:tr xmlns:wp14="http://schemas.microsoft.com/office/word/2010/wordml" w:rsidR="008C2AF6" w14:paraId="7ECE9E0E" wp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C2AF6" w:rsidRDefault="008C2AF6" w14:paraId="68A41F4C" wp14:textId="77777777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4E11D2A" wp14:textId="77777777">
            <w:pPr>
              <w:snapToGrid w:val="0"/>
              <w:jc w:val="center"/>
              <w:rPr>
                <w:rFonts w:ascii="Arial" w:hAnsi="Arial" w:cs="Arial"/>
                <w:sz w:val="22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5450361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1126E5D" wp14:textId="77777777">
            <w:pPr>
              <w:snapToGrid w:val="0"/>
              <w:jc w:val="center"/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2DE403A5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62431CDC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C318815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393C270A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A858FD8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EB42200" wp14:textId="77777777">
            <w:pPr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49E398E2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16287F21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/>
          </w:tcPr>
          <w:p w:rsidR="008C2AF6" w:rsidRDefault="008C2AF6" w14:paraId="5BE93A62" wp14:textId="77777777">
            <w:pPr>
              <w:snapToGrid w:val="0"/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0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/>
          </w:tcPr>
          <w:p w:rsidR="008C2AF6" w:rsidRDefault="008C2AF6" w14:paraId="123D057A" wp14:textId="77777777">
            <w:pPr>
              <w:snapToGrid w:val="0"/>
              <w:jc w:val="center"/>
            </w:pPr>
            <w:r>
              <w:rPr>
                <w:rFonts w:ascii="Arial" w:hAnsi="Arial" w:cs="Arial"/>
              </w:rPr>
              <w:t>+</w:t>
            </w:r>
          </w:p>
        </w:tc>
      </w:tr>
    </w:tbl>
    <w:p xmlns:wp14="http://schemas.microsoft.com/office/word/2010/wordml" w:rsidR="008C2AF6" w:rsidRDefault="008C2AF6" w14:paraId="384BA73E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B3F2EB" wp14:textId="77777777">
      <w:pPr>
        <w:pStyle w:val="Zawartotabeli"/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D34F5C7" wp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7AABFAFC" wp14:textId="77777777"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121391AA" wp14:textId="77777777">
            <w:pPr>
              <w:pStyle w:val="Zawartotabeli"/>
              <w:spacing w:before="57"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59665E" w:rsidP="0059665E" w:rsidRDefault="0059665E" w14:paraId="633B727B" wp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Aktywne uczestnictwo w zajęciach, przygotowywanie ćwiczeń na zajęciach i zadań domowych.</w:t>
            </w:r>
          </w:p>
          <w:p w:rsidR="0059665E" w:rsidP="0059665E" w:rsidRDefault="0059665E" w14:paraId="2C9B7070" wp14:textId="77777777">
            <w:pPr>
              <w:widowControl/>
              <w:suppressAutoHyphens w:val="0"/>
              <w:jc w:val="both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Przygotowanie prezentacji na temat bieżących wydarzeń z kraju i ze świata („prasówka”) – na zaliczenie.</w:t>
            </w:r>
          </w:p>
          <w:p w:rsidR="0059665E" w:rsidP="0059665E" w:rsidRDefault="0059665E" w14:paraId="4747DECE" wp14:textId="77777777">
            <w:pPr>
              <w:widowControl/>
              <w:suppressAutoHyphens w:val="0"/>
              <w:jc w:val="both"/>
            </w:pPr>
            <w:r>
              <w:rPr>
                <w:rFonts w:ascii="Arial" w:hAnsi="Arial" w:cs="Arial"/>
                <w:sz w:val="22"/>
                <w:szCs w:val="22"/>
              </w:rPr>
              <w:t>Kolokwium sprawdzające znajomość terminologii specjalistycznej z dziedziny prawa, administracji i wydarzeń bieżących.</w:t>
            </w:r>
          </w:p>
          <w:p w:rsidR="008C2AF6" w:rsidRDefault="008C2AF6" w14:paraId="0B4020A7" wp14:textId="77777777">
            <w:pPr>
              <w:widowControl/>
              <w:suppressAutoHyphens w:val="0"/>
              <w:jc w:val="both"/>
            </w:pPr>
          </w:p>
        </w:tc>
      </w:tr>
    </w:tbl>
    <w:p xmlns:wp14="http://schemas.microsoft.com/office/word/2010/wordml" w:rsidR="008C2AF6" w:rsidRDefault="008C2AF6" w14:paraId="1D7B270A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4F904CB7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22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19"/>
      </w:tblGrid>
      <w:tr xmlns:wp14="http://schemas.microsoft.com/office/word/2010/wordml" w:rsidR="008C2AF6" w14:paraId="0E5372C6" wp14:textId="77777777">
        <w:trPr>
          <w:trHeight w:val="1089"/>
        </w:trPr>
        <w:tc>
          <w:tcPr>
            <w:tcW w:w="1941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</w:tcBorders>
            <w:shd w:val="clear" w:color="auto" w:fill="DBE5F1"/>
            <w:vAlign w:val="center"/>
          </w:tcPr>
          <w:p w:rsidR="008C2AF6" w:rsidRDefault="008C2AF6" w14:paraId="718A5242" wp14:textId="77777777">
            <w:pPr>
              <w:autoSpaceDE/>
              <w:spacing w:after="57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19" w:type="dxa"/>
            <w:tcBorders>
              <w:top w:val="single" w:color="95B3D7" w:sz="2" w:space="0"/>
              <w:left w:val="single" w:color="95B3D7" w:sz="2" w:space="0"/>
              <w:bottom w:val="single" w:color="95B3D7" w:sz="2" w:space="0"/>
              <w:right w:val="single" w:color="95B3D7" w:sz="2" w:space="0"/>
            </w:tcBorders>
            <w:shd w:val="clear" w:color="auto" w:fill="auto"/>
          </w:tcPr>
          <w:p w:rsidR="008C2AF6" w:rsidRDefault="008C2AF6" w14:paraId="06971CD3" wp14:textId="77777777">
            <w:pPr>
              <w:pStyle w:val="Zawartotabeli"/>
              <w:snapToGrid w:val="0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8C2AF6" w:rsidRDefault="008C2AF6" w14:paraId="7DDC745B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Zaliczenie z oceną</w:t>
            </w:r>
            <w:r w:rsidR="0062217A">
              <w:rPr>
                <w:rFonts w:ascii="Arial" w:hAnsi="Arial" w:cs="Arial"/>
                <w:sz w:val="22"/>
                <w:szCs w:val="16"/>
              </w:rPr>
              <w:t>.</w:t>
            </w:r>
          </w:p>
          <w:p w:rsidR="00F97E83" w:rsidP="00F97E83" w:rsidRDefault="0062217A" w14:paraId="08A8B665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Kurs rozpoczyna się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P="0062217A" w:rsidRDefault="0062217A" w14:paraId="147FED84" wp14:textId="77777777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Kolokwium zaliczeniowe jest przewidziane w formie stacjonarnej, jednak z </w:t>
            </w:r>
            <w:r w:rsidR="00F97E83">
              <w:rPr>
                <w:rFonts w:ascii="Arial" w:hAnsi="Arial" w:cs="Arial"/>
                <w:sz w:val="22"/>
                <w:szCs w:val="16"/>
              </w:rPr>
              <w:t>przyczyn niezależnych od wykładowcy może przybrać formę zdalną.</w:t>
            </w:r>
          </w:p>
          <w:p w:rsidR="0062217A" w:rsidRDefault="0062217A" w14:paraId="2A1F701D" wp14:textId="77777777">
            <w:pPr>
              <w:pStyle w:val="Zawartotabeli"/>
              <w:spacing w:before="57" w:after="57"/>
            </w:pPr>
          </w:p>
        </w:tc>
      </w:tr>
    </w:tbl>
    <w:p xmlns:wp14="http://schemas.microsoft.com/office/word/2010/wordml" w:rsidR="008C2AF6" w:rsidRDefault="008C2AF6" w14:paraId="03EFCA41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F96A72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159A33C0" wp14:textId="77777777">
      <w:r>
        <w:rPr>
          <w:rFonts w:ascii="Arial" w:hAnsi="Arial" w:cs="Arial"/>
          <w:sz w:val="22"/>
          <w:szCs w:val="22"/>
        </w:rPr>
        <w:t>Treści merytoryczne (wykaz tematów)</w:t>
      </w:r>
    </w:p>
    <w:p xmlns:wp14="http://schemas.microsoft.com/office/word/2010/wordml" w:rsidR="008C2AF6" w:rsidRDefault="008C2AF6" w14:paraId="5B95CD12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3CB543D4" wp14:textId="77777777">
        <w:trPr>
          <w:trHeight w:val="1136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5861AC94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Źródła prawa. Konstytucja. Tematyczny podział norm prawnych. Struktura tekstów prawnych: wyrok, ustawa. Składnia i styl języka prawnego: futuro de obligación, subjuntivo futuro, zwroty łacińskie, skróty. Ustrój Polski i Hiszpanii. Omawianie bieżących wydarzeń na świecie – „prasówka”.</w:t>
            </w:r>
          </w:p>
        </w:tc>
      </w:tr>
    </w:tbl>
    <w:p xmlns:wp14="http://schemas.microsoft.com/office/word/2010/wordml" w:rsidR="008C2AF6" w:rsidRDefault="008C2AF6" w14:paraId="5220BBB2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13CB595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349747DD" wp14:textId="77777777">
      <w:r>
        <w:rPr>
          <w:rFonts w:ascii="Arial" w:hAnsi="Arial" w:cs="Arial"/>
          <w:sz w:val="22"/>
          <w:szCs w:val="22"/>
        </w:rPr>
        <w:t>Wykaz literatury podstawowej</w:t>
      </w:r>
    </w:p>
    <w:p xmlns:wp14="http://schemas.microsoft.com/office/word/2010/wordml" w:rsidR="008C2AF6" w:rsidRDefault="008C2AF6" w14:paraId="6D9C8D39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7F851A3E" wp14:textId="77777777">
        <w:trPr>
          <w:trHeight w:val="1098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Pr="00EE65FC" w:rsidR="00DE07F5" w:rsidP="00235710" w:rsidRDefault="00DE07F5" w14:paraId="5BDB6462" wp14:textId="77777777">
            <w:pPr>
              <w:spacing w:before="57" w:after="57"/>
              <w:ind w:left="720"/>
              <w:rPr>
                <w:rFonts w:ascii="Arial" w:hAnsi="Arial" w:cs="Arial"/>
                <w:sz w:val="22"/>
                <w:szCs w:val="22"/>
              </w:rPr>
            </w:pPr>
            <w:r w:rsidRPr="00EE65FC">
              <w:rPr>
                <w:rFonts w:ascii="Arial" w:hAnsi="Arial" w:cs="Arial"/>
                <w:sz w:val="22"/>
                <w:szCs w:val="22"/>
              </w:rPr>
              <w:t xml:space="preserve">Arczewska, </w:t>
            </w:r>
            <w:r w:rsidRPr="00EE65FC">
              <w:rPr>
                <w:rFonts w:ascii="Arial" w:hAnsi="Arial" w:cs="Arial"/>
                <w:i/>
                <w:iCs/>
                <w:sz w:val="22"/>
                <w:szCs w:val="22"/>
              </w:rPr>
              <w:t>Prawniczy język hiszpański</w:t>
            </w:r>
            <w:r w:rsidRPr="00EE65FC">
              <w:rPr>
                <w:rFonts w:ascii="Arial" w:hAnsi="Arial" w:cs="Arial"/>
                <w:sz w:val="22"/>
                <w:szCs w:val="22"/>
              </w:rPr>
              <w:t>. Wyd. Beck, 2018.</w:t>
            </w:r>
          </w:p>
          <w:p w:rsidR="008C2AF6" w:rsidP="00235710" w:rsidRDefault="008C2AF6" w14:paraId="7F794F67" wp14:textId="77777777">
            <w:pPr>
              <w:spacing w:before="57" w:after="57"/>
              <w:ind w:left="720"/>
            </w:pPr>
            <w:r w:rsidRPr="00391581">
              <w:rPr>
                <w:rFonts w:ascii="Arial" w:hAnsi="Arial" w:cs="Arial"/>
                <w:sz w:val="22"/>
                <w:szCs w:val="22"/>
                <w:lang w:val="es-ES"/>
              </w:rPr>
              <w:t>Ortiz 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ánchez,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Introducción al español jurídico.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391581">
              <w:rPr>
                <w:rFonts w:ascii="Arial" w:hAnsi="Arial" w:cs="Arial"/>
                <w:sz w:val="22"/>
                <w:szCs w:val="22"/>
              </w:rPr>
              <w:t>Comares, S.L. 2001</w:t>
            </w:r>
          </w:p>
          <w:p w:rsidR="008C2AF6" w:rsidP="00235710" w:rsidRDefault="008C2AF6" w14:paraId="359F3AA7" wp14:textId="77777777">
            <w:pPr>
              <w:spacing w:before="57" w:after="57"/>
              <w:ind w:left="720"/>
            </w:pPr>
            <w:r>
              <w:rPr>
                <w:rFonts w:ascii="Arial" w:hAnsi="Arial" w:cs="Arial"/>
                <w:sz w:val="22"/>
                <w:szCs w:val="22"/>
              </w:rPr>
              <w:t xml:space="preserve">Supera-Markowska,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Zarys prawa hiszpańskiego i prawa polskiego.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Esbozo del derecho español y del derecho polaco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Wyd. Beck 2009</w:t>
            </w:r>
          </w:p>
          <w:p w:rsidR="008C2AF6" w:rsidRDefault="008C2AF6" w14:paraId="4CC4BC5E" wp14:textId="77777777">
            <w:pPr>
              <w:widowControl/>
              <w:numPr>
                <w:ilvl w:val="0"/>
                <w:numId w:val="2"/>
              </w:numPr>
              <w:autoSpaceDE/>
              <w:spacing w:before="57" w:after="57" w:line="276" w:lineRule="auto"/>
              <w:ind w:left="720" w:hanging="360"/>
            </w:pPr>
            <w:r>
              <w:rPr>
                <w:rFonts w:ascii="Arial" w:hAnsi="Arial" w:cs="Arial"/>
                <w:sz w:val="22"/>
                <w:szCs w:val="22"/>
              </w:rPr>
              <w:t>europejskie akty prawne: http://eur-lex.europa.eu/pl/index.htm</w:t>
            </w:r>
          </w:p>
          <w:p w:rsidRPr="00391581" w:rsidR="008C2AF6" w:rsidP="00235710" w:rsidRDefault="008C2AF6" w14:paraId="1BD57208" wp14:textId="77777777">
            <w:pPr>
              <w:spacing w:before="57" w:after="57"/>
              <w:ind w:left="720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Arcaróns, Ó. Casanovas, F. Serracant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Derecho civil aplicado a las enseñanzas turísticas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Síntesis, Madrid.</w:t>
            </w:r>
          </w:p>
          <w:p w:rsidR="008C2AF6" w:rsidRDefault="008C2AF6" w14:paraId="411694D2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>Arcaróns,</w:t>
            </w:r>
            <w:r w:rsidR="00235710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Casanovas, F. Serracant (1999):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Manual de derecho mercantil aplicado a las enseñanzas turísticas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Síntesis, Madrid.</w:t>
            </w:r>
          </w:p>
          <w:p w:rsidR="00235710" w:rsidP="00235710" w:rsidRDefault="00235710" w14:paraId="5B1B26C0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 w:rsidRPr="00391581">
              <w:rPr>
                <w:lang w:val="es-ES"/>
              </w:rPr>
              <w:t xml:space="preserve">Larrañaga Domínguez, Arroyo Hernández, 2011, Practica tu español. </w:t>
            </w:r>
            <w:r>
              <w:t>El léxico de los negocios, ed. SGEL.</w:t>
            </w:r>
          </w:p>
          <w:p w:rsidR="00235710" w:rsidP="00235710" w:rsidRDefault="00235710" w14:paraId="35A7882F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t>Pareja, 2010, Temas de empresa, ed. Edinumen.</w:t>
            </w:r>
          </w:p>
          <w:p w:rsidR="00235710" w:rsidP="00235710" w:rsidRDefault="00235710" w14:paraId="0C79C9D0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 w:rsidRPr="00391581">
              <w:rPr>
                <w:lang w:val="es-ES"/>
              </w:rPr>
              <w:t xml:space="preserve">Pizarro, I. (2010). Análisis y traducción del texto económico. </w:t>
            </w:r>
            <w:r>
              <w:t>A Coruña: Netbiblo</w:t>
            </w:r>
          </w:p>
          <w:p w:rsidR="00235710" w:rsidP="00235710" w:rsidRDefault="00235710" w14:paraId="620EDBF9" wp14:textId="77777777">
            <w:pPr>
              <w:numPr>
                <w:ilvl w:val="0"/>
                <w:numId w:val="2"/>
              </w:numPr>
              <w:spacing w:before="57" w:after="57"/>
              <w:ind w:left="720" w:hanging="360"/>
            </w:pPr>
            <w:r>
              <w:t>Prada, Bovet, Marcé, 2016, El entorno empresarial B2, ed. Edelsa.</w:t>
            </w:r>
          </w:p>
          <w:p w:rsidR="008C2AF6" w:rsidRDefault="008C2AF6" w14:paraId="186CC4DE" wp14:textId="77777777">
            <w:p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>Teksty przygotowywane na bieżąco przez prowadzącego na podstawie aktualnych materiałów prasowych, podręcznikowych, itp. dostosowanych do poziomu, tematyki i celu zajęć</w:t>
            </w:r>
          </w:p>
        </w:tc>
      </w:tr>
    </w:tbl>
    <w:p xmlns:wp14="http://schemas.microsoft.com/office/word/2010/wordml" w:rsidR="008C2AF6" w:rsidRDefault="008C2AF6" w14:paraId="675E05EE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2FC17F8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9EC7B3D" wp14:textId="77777777">
      <w:pPr>
        <w:pageBreakBefore/>
      </w:pPr>
      <w:r>
        <w:rPr>
          <w:rFonts w:ascii="Arial" w:hAnsi="Arial" w:cs="Arial"/>
          <w:sz w:val="22"/>
          <w:szCs w:val="16"/>
        </w:rPr>
        <w:t>Wykaz literatury uzupełniającej</w:t>
      </w:r>
    </w:p>
    <w:p xmlns:wp14="http://schemas.microsoft.com/office/word/2010/wordml" w:rsidR="008C2AF6" w:rsidRDefault="008C2AF6" w14:paraId="0A4F7224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62"/>
      </w:tblGrid>
      <w:tr xmlns:wp14="http://schemas.microsoft.com/office/word/2010/wordml" w:rsidR="008C2AF6" w14:paraId="1121291E" wp14:textId="77777777">
        <w:trPr>
          <w:trHeight w:val="1112"/>
        </w:trPr>
        <w:tc>
          <w:tcPr>
            <w:tcW w:w="9662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</w:tcPr>
          <w:p w:rsidR="008C2AF6" w:rsidRDefault="008C2AF6" w14:paraId="093BD591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</w:rPr>
              <w:t xml:space="preserve">W. Kotner, red. (2009): </w:t>
            </w:r>
            <w:r>
              <w:rPr>
                <w:rFonts w:ascii="Arial" w:hAnsi="Arial" w:cs="Arial"/>
                <w:i/>
                <w:sz w:val="22"/>
                <w:szCs w:val="22"/>
              </w:rPr>
              <w:t>Prawo cywilne i handlowe w zarysie</w:t>
            </w:r>
            <w:r>
              <w:rPr>
                <w:rFonts w:ascii="Arial" w:hAnsi="Arial" w:cs="Arial"/>
                <w:sz w:val="22"/>
                <w:szCs w:val="22"/>
              </w:rPr>
              <w:t>, Wolters Kluwer Polska sp. z o.o., Warszawa.</w:t>
            </w:r>
          </w:p>
          <w:p w:rsidR="008C2AF6" w:rsidRDefault="008C2AF6" w14:paraId="4DCDAEBF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B., Hernando de Larramendi, M. (1997):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Español por profesiones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Lenguaje jurídico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SGEL, Madrid.</w:t>
            </w:r>
          </w:p>
          <w:p w:rsidR="008C2AF6" w:rsidRDefault="008C2AF6" w14:paraId="7B1A0473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Aguirre Beltrán, B. (1998):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Comunicación y cultura en situaciones profesionales: saber ser, saber estar, saber hacer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. Frecuencia L., Madrid,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Edinumen nº7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marzo 1998, str.19-33</w:t>
            </w:r>
          </w:p>
          <w:p w:rsidRPr="00391581" w:rsidR="008C2AF6" w:rsidRDefault="008C2AF6" w14:paraId="58C19341" wp14:textId="77777777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B. Alcántara Alejo, M. Ahijado Quintillan (2000):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la Unión Europea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Piramide, Madrid.</w:t>
            </w:r>
          </w:p>
          <w:p w:rsidR="008C2AF6" w:rsidRDefault="008C2AF6" w14:paraId="2388C4EB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 cywilny</w:t>
            </w:r>
          </w:p>
          <w:p w:rsidR="008C2AF6" w:rsidRDefault="008C2AF6" w14:paraId="1340DD57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Kodeks handlowy</w:t>
            </w:r>
          </w:p>
          <w:p w:rsidR="008C2AF6" w:rsidRDefault="008C2AF6" w14:paraId="542F9318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Civil</w:t>
            </w:r>
          </w:p>
          <w:p w:rsidR="008C2AF6" w:rsidRDefault="008C2AF6" w14:paraId="2228387E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Código Mercantil</w:t>
            </w:r>
          </w:p>
          <w:p w:rsidRPr="00391581" w:rsidR="008C2AF6" w:rsidRDefault="008C2AF6" w14:paraId="5D4F261C" wp14:textId="77777777">
            <w:pPr>
              <w:numPr>
                <w:ilvl w:val="0"/>
                <w:numId w:val="3"/>
              </w:numPr>
              <w:spacing w:before="57" w:after="57"/>
              <w:rPr>
                <w:lang w:val="es-ES"/>
              </w:rPr>
            </w:pP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N. Campos Plaza et al. (2005): </w:t>
            </w: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jurídico-económico francés-español / español-francés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, Editorial Comares / Interlingua Diccionarios, Granada.</w:t>
            </w:r>
          </w:p>
          <w:p w:rsidR="008C2AF6" w:rsidRDefault="008C2AF6" w14:paraId="0F29783D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techniczny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Tadeusz Weroniecki.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>Warszawa: WNT, 1981.</w:t>
            </w:r>
          </w:p>
          <w:p w:rsidR="008C2AF6" w:rsidRDefault="008C2AF6" w14:paraId="55C66E8F" wp14:textId="77777777">
            <w:pPr>
              <w:numPr>
                <w:ilvl w:val="0"/>
                <w:numId w:val="3"/>
              </w:numPr>
              <w:spacing w:before="57" w:after="57"/>
            </w:pPr>
            <w:r w:rsidRPr="00391581">
              <w:rPr>
                <w:rFonts w:ascii="Arial" w:hAnsi="Arial" w:cs="Arial"/>
                <w:i/>
                <w:sz w:val="22"/>
                <w:szCs w:val="22"/>
              </w:rPr>
              <w:t>Słownik ekonomiczny hiszpańsko-polski, polsko-hiszpański = Diccionario económico español-polaco, polaco-español</w:t>
            </w:r>
            <w:r w:rsidRPr="00391581">
              <w:rPr>
                <w:rFonts w:ascii="Arial" w:hAnsi="Arial" w:cs="Arial"/>
                <w:sz w:val="22"/>
                <w:szCs w:val="22"/>
              </w:rPr>
              <w:t xml:space="preserve"> / Nora Orłowska, Renata Grabarska. 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Gdańsk: Wydaw. </w:t>
            </w:r>
            <w:r>
              <w:rPr>
                <w:rFonts w:ascii="Arial" w:hAnsi="Arial" w:cs="Arial"/>
                <w:sz w:val="22"/>
                <w:szCs w:val="22"/>
              </w:rPr>
              <w:t>Uniwersytetu Gdańskiego, 1998.</w:t>
            </w:r>
          </w:p>
          <w:p w:rsidR="008C2AF6" w:rsidRDefault="008C2AF6" w14:paraId="06D9526B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</w:rPr>
              <w:t>Słownik terminologii prawniczej hiszpańsko-polski</w:t>
            </w:r>
            <w:r>
              <w:rPr>
                <w:rFonts w:ascii="Arial" w:hAnsi="Arial" w:cs="Arial"/>
                <w:sz w:val="22"/>
                <w:szCs w:val="22"/>
              </w:rPr>
              <w:t xml:space="preserve"> / Mieczysław Komarnicki, Igor Komarnicki. Warszawa: C.H. Beck, 2005.</w:t>
            </w:r>
          </w:p>
          <w:p w:rsidR="008C2AF6" w:rsidRDefault="008C2AF6" w14:paraId="6CBC3BD4" wp14:textId="77777777">
            <w:pPr>
              <w:numPr>
                <w:ilvl w:val="0"/>
                <w:numId w:val="3"/>
              </w:numPr>
              <w:spacing w:before="57" w:after="57"/>
            </w:pPr>
            <w:r>
              <w:rPr>
                <w:rFonts w:ascii="Arial" w:hAnsi="Arial" w:cs="Arial"/>
                <w:i/>
                <w:sz w:val="22"/>
                <w:szCs w:val="22"/>
                <w:lang w:val="es-ES"/>
              </w:rPr>
              <w:t>Diccionario de marketing</w:t>
            </w:r>
            <w:r>
              <w:rPr>
                <w:rFonts w:ascii="Arial" w:hAnsi="Arial" w:cs="Arial"/>
                <w:sz w:val="22"/>
                <w:szCs w:val="22"/>
                <w:lang w:val="es-ES"/>
              </w:rPr>
              <w:t xml:space="preserve"> / José Ramón Sánchez Guzmán. Madrid: Acento Editorial, 2003.</w:t>
            </w:r>
          </w:p>
        </w:tc>
      </w:tr>
    </w:tbl>
    <w:p xmlns:wp14="http://schemas.microsoft.com/office/word/2010/wordml" w:rsidR="008C2AF6" w:rsidRDefault="008C2AF6" w14:paraId="5AE48A43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50F40DEB" wp14:textId="77777777">
      <w:pPr>
        <w:rPr>
          <w:rFonts w:ascii="Arial" w:hAnsi="Arial" w:cs="Arial"/>
          <w:sz w:val="22"/>
          <w:szCs w:val="16"/>
        </w:rPr>
      </w:pPr>
    </w:p>
    <w:p xmlns:wp14="http://schemas.microsoft.com/office/word/2010/wordml" w:rsidR="008C2AF6" w:rsidRDefault="008C2AF6" w14:paraId="77A52294" wp14:textId="77777777">
      <w:pPr>
        <w:pStyle w:val="BalloonText1"/>
        <w:rPr>
          <w:rFonts w:ascii="Arial" w:hAnsi="Arial" w:cs="Arial"/>
          <w:sz w:val="22"/>
        </w:rPr>
      </w:pPr>
    </w:p>
    <w:p xmlns:wp14="http://schemas.microsoft.com/office/word/2010/wordml" w:rsidR="008C2AF6" w:rsidRDefault="008C2AF6" w14:paraId="0CCFC7CA" wp14:textId="77777777">
      <w:pPr>
        <w:pStyle w:val="BalloonText1"/>
      </w:pPr>
      <w:r>
        <w:rPr>
          <w:rFonts w:ascii="Arial" w:hAnsi="Arial" w:cs="Arial"/>
          <w:sz w:val="22"/>
        </w:rPr>
        <w:t>Bilans godzinowy zgodny z CNPS (Całkowity Nakład Pracy Studenta)</w:t>
      </w:r>
    </w:p>
    <w:p xmlns:wp14="http://schemas.microsoft.com/office/word/2010/wordml" w:rsidR="008C2AF6" w:rsidRDefault="008C2AF6" w14:paraId="007DCDA8" wp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106"/>
      </w:tblGrid>
      <w:tr xmlns:wp14="http://schemas.microsoft.com/office/word/2010/wordml" w:rsidR="008C2AF6" w14:paraId="67E8A724" wp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A59AAF4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CF52D3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450EA2D7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C2AF6" w14:paraId="6A290288" wp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3DD355C9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6D29A719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60DA321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8C2AF6" w14:paraId="64711803" wp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A81F0B1" wp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5FDEA22" wp14:textId="77777777">
            <w:pPr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5D369756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7905F624" wp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0CFD0B79" wp14:textId="77777777">
            <w:pPr>
              <w:widowControl/>
              <w:autoSpaceDE/>
              <w:spacing w:line="276" w:lineRule="auto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40086990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446DE71A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0DFC580A" wp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717AAFB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61B59D1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18E8C380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xmlns:wp14="http://schemas.microsoft.com/office/word/2010/wordml" w:rsidR="008C2AF6" w14:paraId="0E24D7D7" wp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56EE48EE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663860C5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2908EB2C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xmlns:wp14="http://schemas.microsoft.com/office/word/2010/wordml" w:rsidR="008C2AF6" w14:paraId="241F3FAF" wp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21FD38A" wp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auto"/>
            <w:vAlign w:val="center"/>
          </w:tcPr>
          <w:p w:rsidR="008C2AF6" w:rsidRDefault="008C2AF6" w14:paraId="58EE2916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zaliczenia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3E1FE5D4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xmlns:wp14="http://schemas.microsoft.com/office/word/2010/wordml" w:rsidR="008C2AF6" w14:paraId="60A185A1" wp14:textId="77777777">
        <w:trPr>
          <w:trHeight w:val="365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637B343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5AA05B6E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90</w:t>
            </w:r>
          </w:p>
        </w:tc>
      </w:tr>
      <w:tr xmlns:wp14="http://schemas.microsoft.com/office/word/2010/wordml" w:rsidR="008C2AF6" w14:paraId="51F8EEA8" wp14:textId="77777777">
        <w:trPr>
          <w:trHeight w:val="392"/>
        </w:trPr>
        <w:tc>
          <w:tcPr>
            <w:tcW w:w="8516" w:type="dxa"/>
            <w:gridSpan w:val="2"/>
            <w:tcBorders>
              <w:top w:val="single" w:color="95B3D7" w:sz="4" w:space="0"/>
              <w:left w:val="single" w:color="95B3D7" w:sz="4" w:space="0"/>
              <w:bottom w:val="single" w:color="95B3D7" w:sz="4" w:space="0"/>
            </w:tcBorders>
            <w:shd w:val="clear" w:color="auto" w:fill="DBE5F1"/>
            <w:vAlign w:val="center"/>
          </w:tcPr>
          <w:p w:rsidR="008C2AF6" w:rsidRDefault="008C2AF6" w14:paraId="1114240D" wp14:textId="77777777">
            <w:pPr>
              <w:widowControl/>
              <w:autoSpaceDE/>
              <w:spacing w:line="276" w:lineRule="auto"/>
              <w:ind w:left="360"/>
              <w:jc w:val="center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106" w:type="dxa"/>
            <w:tcBorders>
              <w:top w:val="single" w:color="95B3D7" w:sz="4" w:space="0"/>
              <w:left w:val="single" w:color="95B3D7" w:sz="4" w:space="0"/>
              <w:bottom w:val="single" w:color="95B3D7" w:sz="4" w:space="0"/>
              <w:right w:val="single" w:color="95B3D7" w:sz="4" w:space="0"/>
            </w:tcBorders>
            <w:shd w:val="clear" w:color="auto" w:fill="auto"/>
            <w:vAlign w:val="center"/>
          </w:tcPr>
          <w:p w:rsidR="008C2AF6" w:rsidRDefault="008C2AF6" w14:paraId="0B778152" wp14:textId="77777777">
            <w:pPr>
              <w:widowControl/>
              <w:autoSpaceDE/>
              <w:spacing w:line="276" w:lineRule="auto"/>
              <w:ind w:left="360"/>
              <w:jc w:val="both"/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</w:t>
            </w:r>
          </w:p>
        </w:tc>
      </w:tr>
    </w:tbl>
    <w:p xmlns:wp14="http://schemas.microsoft.com/office/word/2010/wordml" w:rsidR="008C2AF6" w:rsidRDefault="008C2AF6" w14:paraId="1FE2DD96" wp14:textId="77777777">
      <w:pPr>
        <w:pStyle w:val="BalloonText1"/>
      </w:pPr>
    </w:p>
    <w:sectPr w:rsidR="008C2AF6">
      <w:headerReference w:type="default" r:id="rId9"/>
      <w:footerReference w:type="default" r:id="rId10"/>
      <w:headerReference w:type="first" r:id="rId11"/>
      <w:footerReference w:type="first" r:id="rId12"/>
      <w:pgSz w:w="11906" w:h="16838" w:orient="portrait"/>
      <w:pgMar w:top="127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xmlns:wp14="http://schemas.microsoft.com/office/word/2010/wordml" w:rsidR="00E469DF" w:rsidRDefault="00E469DF" w14:paraId="27357532" wp14:textId="77777777">
      <w:r>
        <w:separator/>
      </w:r>
    </w:p>
  </w:endnote>
  <w:endnote w:type="continuationSeparator" w:id="0">
    <w:p xmlns:wp14="http://schemas.microsoft.com/office/word/2010/wordml" w:rsidR="00E469DF" w:rsidRDefault="00E469DF" w14:paraId="07F023C8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0D7DFC9E" wp14:textId="77777777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</w:p>
  <w:p xmlns:wp14="http://schemas.microsoft.com/office/word/2010/wordml" w:rsidR="008C2AF6" w:rsidRDefault="008C2AF6" w14:paraId="54738AF4" wp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74869460" wp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xmlns:wp14="http://schemas.microsoft.com/office/word/2010/wordml" w:rsidR="00E469DF" w:rsidRDefault="00E469DF" w14:paraId="4BDB5498" wp14:textId="77777777">
      <w:r>
        <w:separator/>
      </w:r>
    </w:p>
  </w:footnote>
  <w:footnote w:type="continuationSeparator" w:id="0">
    <w:p xmlns:wp14="http://schemas.microsoft.com/office/word/2010/wordml" w:rsidR="00E469DF" w:rsidRDefault="00E469DF" w14:paraId="2916C19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46ABBD8F" wp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xmlns:wp14="http://schemas.microsoft.com/office/word/2010/wordml" w:rsidR="008C2AF6" w:rsidRDefault="008C2AF6" w14:paraId="187F57B8" wp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  <w:szCs w:val="16"/>
        <w:lang w:val="es-E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Times New Roman" w:cs="Arial"/>
        <w:sz w:val="22"/>
        <w:szCs w:val="16"/>
        <w:lang w:val="es-ES"/>
      </w:rPr>
    </w:lvl>
  </w:abstractNum>
  <w:num w:numId="1" w16cid:durableId="1306814325">
    <w:abstractNumId w:val="0"/>
  </w:num>
  <w:num w:numId="2" w16cid:durableId="1197934331">
    <w:abstractNumId w:val="1"/>
  </w:num>
  <w:num w:numId="3" w16cid:durableId="195432444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 w:val="false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49"/>
    <w:rsid w:val="00137EFE"/>
    <w:rsid w:val="00204C26"/>
    <w:rsid w:val="00214C23"/>
    <w:rsid w:val="00235710"/>
    <w:rsid w:val="00391581"/>
    <w:rsid w:val="003A1679"/>
    <w:rsid w:val="003F0615"/>
    <w:rsid w:val="00447495"/>
    <w:rsid w:val="0059665E"/>
    <w:rsid w:val="005C09DE"/>
    <w:rsid w:val="0062217A"/>
    <w:rsid w:val="00705538"/>
    <w:rsid w:val="00743FA1"/>
    <w:rsid w:val="007A22AE"/>
    <w:rsid w:val="008C2AF6"/>
    <w:rsid w:val="009155EB"/>
    <w:rsid w:val="00924FE1"/>
    <w:rsid w:val="00992E95"/>
    <w:rsid w:val="00AA5E07"/>
    <w:rsid w:val="00B901DF"/>
    <w:rsid w:val="00C91549"/>
    <w:rsid w:val="00CA46E9"/>
    <w:rsid w:val="00CD5E34"/>
    <w:rsid w:val="00D372FB"/>
    <w:rsid w:val="00DE07F5"/>
    <w:rsid w:val="00E469DF"/>
    <w:rsid w:val="00F56452"/>
    <w:rsid w:val="00F97E83"/>
    <w:rsid w:val="04B7E1A2"/>
    <w:rsid w:val="04EBEE4F"/>
    <w:rsid w:val="072B8CE2"/>
    <w:rsid w:val="0DF2E903"/>
    <w:rsid w:val="18011EB2"/>
    <w:rsid w:val="1AEDF98B"/>
    <w:rsid w:val="1B208152"/>
    <w:rsid w:val="1FD0E433"/>
    <w:rsid w:val="227A43E5"/>
    <w:rsid w:val="31A2A195"/>
    <w:rsid w:val="3D4A15C8"/>
    <w:rsid w:val="3E7AA7B4"/>
    <w:rsid w:val="41284760"/>
    <w:rsid w:val="44E1485B"/>
    <w:rsid w:val="46A6D174"/>
    <w:rsid w:val="5EDAEC3A"/>
    <w:rsid w:val="72C5DDC7"/>
    <w:rsid w:val="74005FF5"/>
    <w:rsid w:val="755E267C"/>
    <w:rsid w:val="75A57AD3"/>
    <w:rsid w:val="772619F3"/>
    <w:rsid w:val="7F6DD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4C44575A"/>
  <w15:chartTrackingRefBased/>
  <w15:docId w15:val="{76DA3C05-0894-44E5-9DE0-9547D363F25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="Times New Roman" w:hAnsi="Times New Roman" w:eastAsia="Times New Roman" w:cs="Times New Roman"/>
        <w:lang w:val="en-GB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val="pl-PL"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1z0" w:customStyle="1">
    <w:name w:val="WW8Num1z0"/>
  </w:style>
  <w:style w:type="character" w:styleId="WW8Num1z1" w:customStyle="1">
    <w:name w:val="WW8Num1z1"/>
  </w:style>
  <w:style w:type="character" w:styleId="WW8Num1z2" w:customStyle="1">
    <w:name w:val="WW8Num1z2"/>
  </w:style>
  <w:style w:type="character" w:styleId="WW8Num1z3" w:customStyle="1">
    <w:name w:val="WW8Num1z3"/>
  </w:style>
  <w:style w:type="character" w:styleId="WW8Num1z4" w:customStyle="1">
    <w:name w:val="WW8Num1z4"/>
  </w:style>
  <w:style w:type="character" w:styleId="WW8Num1z5" w:customStyle="1">
    <w:name w:val="WW8Num1z5"/>
  </w:style>
  <w:style w:type="character" w:styleId="WW8Num1z6" w:customStyle="1">
    <w:name w:val="WW8Num1z6"/>
  </w:style>
  <w:style w:type="character" w:styleId="WW8Num1z7" w:customStyle="1">
    <w:name w:val="WW8Num1z7"/>
  </w:style>
  <w:style w:type="character" w:styleId="WW8Num1z8" w:customStyle="1">
    <w:name w:val="WW8Num1z8"/>
  </w:style>
  <w:style w:type="character" w:styleId="WW8Num2z0" w:customStyle="1">
    <w:name w:val="WW8Num2z0"/>
    <w:rPr>
      <w:rFonts w:ascii="Arial" w:hAnsi="Arial" w:cs="Arial"/>
      <w:sz w:val="22"/>
      <w:szCs w:val="16"/>
      <w:lang w:val="es-ES"/>
    </w:rPr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  <w:rPr>
      <w:rFonts w:ascii="Arial" w:hAnsi="Arial" w:eastAsia="Times New Roman" w:cs="Arial"/>
      <w:sz w:val="22"/>
      <w:szCs w:val="16"/>
      <w:lang w:val="es-ES"/>
    </w:rPr>
  </w:style>
  <w:style w:type="character" w:styleId="Domylnaczcionkaakapitu2" w:customStyle="1">
    <w:name w:val="Domyślna czcionka akapitu2"/>
  </w:style>
  <w:style w:type="character" w:styleId="WW8Num4z0" w:customStyle="1">
    <w:name w:val="WW8Num4z0"/>
  </w:style>
  <w:style w:type="character" w:styleId="WW8Num4z1" w:customStyle="1">
    <w:name w:val="WW8Num4z1"/>
  </w:style>
  <w:style w:type="character" w:styleId="WW8Num4z2" w:customStyle="1">
    <w:name w:val="WW8Num4z2"/>
  </w:style>
  <w:style w:type="character" w:styleId="WW8Num4z3" w:customStyle="1">
    <w:name w:val="WW8Num4z3"/>
  </w:style>
  <w:style w:type="character" w:styleId="WW8Num4z4" w:customStyle="1">
    <w:name w:val="WW8Num4z4"/>
  </w:style>
  <w:style w:type="character" w:styleId="WW8Num4z5" w:customStyle="1">
    <w:name w:val="WW8Num4z5"/>
  </w:style>
  <w:style w:type="character" w:styleId="WW8Num4z6" w:customStyle="1">
    <w:name w:val="WW8Num4z6"/>
  </w:style>
  <w:style w:type="character" w:styleId="WW8Num4z7" w:customStyle="1">
    <w:name w:val="WW8Num4z7"/>
  </w:style>
  <w:style w:type="character" w:styleId="WW8Num4z8" w:customStyle="1">
    <w:name w:val="WW8Num4z8"/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TekstdymkaZnak" w:customStyle="1">
    <w:name w:val="Tekst dymka Znak"/>
    <w:rPr>
      <w:rFonts w:ascii="Tahoma" w:hAnsi="Tahoma" w:cs="Tahoma"/>
      <w:sz w:val="16"/>
      <w:szCs w:val="16"/>
    </w:rPr>
  </w:style>
  <w:style w:type="character" w:styleId="TekstkomentarzaZnak" w:customStyle="1">
    <w:name w:val="Tekst komentarza Znak"/>
    <w:basedOn w:val="Domylnaczcionkaakapitu1"/>
  </w:style>
  <w:style w:type="character" w:styleId="TematkomentarzaZnak" w:customStyle="1">
    <w:name w:val="Temat komentarza Znak"/>
    <w:rPr>
      <w:b/>
      <w:bCs/>
    </w:rPr>
  </w:style>
  <w:style w:type="paragraph" w:styleId="Nagwek2" w:customStyle="1">
    <w:name w:val="Nagłówek2"/>
    <w:basedOn w:val="Normal"/>
    <w:next w:val="BodyText"/>
    <w:pPr>
      <w:keepNext/>
      <w:spacing w:before="240" w:after="120"/>
    </w:pPr>
    <w:rPr>
      <w:rFonts w:eastAsia="Microsoft YaHei" w:cs="Arial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Nagwek1" w:customStyle="1">
    <w:name w:val="Nagłówek1"/>
    <w:basedOn w:val="Normal"/>
    <w:next w:val="BodyText"/>
    <w:pPr>
      <w:keepNext/>
      <w:spacing w:before="240" w:after="120"/>
    </w:pPr>
    <w:rPr>
      <w:rFonts w:eastAsia="Microsoft YaHei" w:cs="Arial"/>
      <w:szCs w:val="28"/>
    </w:rPr>
  </w:style>
  <w:style w:type="paragraph" w:styleId="Legenda1" w:customStyle="1">
    <w:name w:val="Legenda1"/>
    <w:basedOn w:val="Normal"/>
    <w:pPr>
      <w:suppressLineNumbers/>
      <w:spacing w:before="120" w:after="120"/>
    </w:pPr>
    <w:rPr>
      <w:rFonts w:cs="Arial"/>
      <w:i/>
      <w:iCs/>
    </w:r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Gwkaistopka" w:customStyle="1">
    <w:name w:val="Główka i stopka"/>
    <w:basedOn w:val="Normal"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qFormat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annotationsubject" w:customStyle="1">
    <w:name w:val="annotation subject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Subject">
    <w:name w:val="annotation subject0"/>
    <w:basedOn w:val="Tekstkomentarza1"/>
    <w:next w:val="Tekstkomentarz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4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33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D72DAE-9DE4-4444-B761-6466568109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3586E4-1D66-4B50-8FB1-B0D582432B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23</revision>
  <lastPrinted>1995-11-22T01:41:00.0000000Z</lastPrinted>
  <dcterms:created xsi:type="dcterms:W3CDTF">2024-10-22T07:05:00.0000000Z</dcterms:created>
  <dcterms:modified xsi:type="dcterms:W3CDTF">2024-10-28T13:18:38.7017510Z</dcterms:modified>
</coreProperties>
</file>