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F50" w:rsidP="7080C5CC" w:rsidRDefault="00303F50" w14:paraId="5209B6D3" w14:textId="2AFEBC2F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7080C5CC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7080C5CC" w14:paraId="0D9610F9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810850" w:rsidP="00810850" w:rsidRDefault="00810850" w14:paraId="1B14F209" w14:textId="0BB8B0EA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  <w:r w:rsidR="00E75B33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</w:p>
        </w:tc>
      </w:tr>
      <w:tr w:rsidR="00810850" w:rsidTr="7080C5CC" w14:paraId="18A2EC4D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810850" w:rsidP="7080C5CC" w:rsidRDefault="00810850" w14:paraId="4F841192" w14:textId="4767C438" w14:noSpellErr="1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7080C5CC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Spanish </w:t>
            </w:r>
            <w:r w:rsidRPr="7080C5CC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Grammar</w:t>
            </w:r>
            <w:r w:rsidRPr="7080C5CC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 V</w:t>
            </w:r>
            <w:r w:rsidRPr="7080C5CC" w:rsidR="00E75B33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I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2860952F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60462E" w:rsidRDefault="00810850" w14:paraId="038D06F6" w14:textId="6F3672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860952F" w:rsidR="27B507BD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2860952F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4D71DB" w14:paraId="59C66700" w14:textId="3DEA75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2860952F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2860952F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2E6AB76F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Celem kursu jest opanowanie przez studenta wybranych zagadnień gramatycznych języka hiszpańskiego na poziomie </w:t>
            </w:r>
            <w:r w:rsidR="00B80824">
              <w:rPr>
                <w:rFonts w:ascii="Arial" w:hAnsi="Arial" w:cs="Arial"/>
                <w:sz w:val="22"/>
                <w:szCs w:val="16"/>
              </w:rPr>
              <w:t>C1</w:t>
            </w:r>
            <w:r>
              <w:rPr>
                <w:rFonts w:ascii="Arial" w:hAnsi="Arial" w:cs="Arial"/>
                <w:sz w:val="22"/>
                <w:szCs w:val="16"/>
              </w:rPr>
              <w:t xml:space="preserve">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C78F9AE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</w:t>
            </w:r>
            <w:r w:rsidR="00B80824">
              <w:rPr>
                <w:rFonts w:ascii="Arial" w:hAnsi="Arial" w:cs="Arial"/>
                <w:bCs/>
                <w:sz w:val="22"/>
                <w:szCs w:val="22"/>
              </w:rPr>
              <w:t>2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3CDEAB03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 w:rsidR="00B80824">
              <w:rPr>
                <w:rFonts w:ascii="Arial" w:hAnsi="Arial" w:cs="Arial"/>
                <w:sz w:val="22"/>
                <w:szCs w:val="22"/>
              </w:rPr>
              <w:t>2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7080C5CC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textId="13F935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080C5CC" w:rsidR="3A1015CD">
              <w:rPr>
                <w:rFonts w:ascii="Arial" w:hAnsi="Arial" w:cs="Arial"/>
                <w:sz w:val="20"/>
                <w:szCs w:val="20"/>
              </w:rPr>
              <w:t>ucz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080C5CC" w:rsidR="755E499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080C5CC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080C5CC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textId="10A3247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080C5CC" w:rsidR="70957307">
              <w:rPr>
                <w:rFonts w:ascii="Arial" w:hAnsi="Arial" w:cs="Arial"/>
                <w:sz w:val="20"/>
                <w:szCs w:val="20"/>
              </w:rPr>
              <w:t>ucz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080C5CC" w:rsidR="2873EA66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080C5CC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080C5CC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textId="10AEDCA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080C5CC" w:rsidR="2BB6BFC2">
              <w:rPr>
                <w:rFonts w:ascii="Arial" w:hAnsi="Arial" w:cs="Arial"/>
                <w:sz w:val="20"/>
                <w:szCs w:val="20"/>
              </w:rPr>
              <w:t>ucz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080C5CC" w:rsidR="1FBCC87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7080C5CC" w:rsidR="00303F5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080C5CC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AF5E81" w14:paraId="539789AF" w14:textId="76419214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porządku: przedstawienie teorii i zasad gramatycznych; sprawdzanie ćwiczeń; poprawa tychże z uwzględnieniem aspektów, które sprawiają największe trudności studentom mówiącym w języku polskim.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8A77FA" w14:paraId="565B7876" w14:textId="091FC7A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preposiciones (por y para, verbos con preposición, adverbios con preposición).</w:t>
            </w:r>
          </w:p>
          <w:p w:rsidR="008A77FA" w:rsidP="001F6A70" w:rsidRDefault="008A77FA" w14:paraId="214E4B2A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Pronombres que cambian o matizan el significado de algunos verbos.</w:t>
            </w:r>
          </w:p>
          <w:p w:rsidR="008A77FA" w:rsidP="001F6A70" w:rsidRDefault="008A77FA" w14:paraId="118571BA" w14:textId="42CA7CD1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Pronombre supérfluo o dativo de interés.  </w:t>
            </w:r>
          </w:p>
          <w:p w:rsidR="006F29F3" w:rsidP="001F6A70" w:rsidRDefault="008A77FA" w14:paraId="3BB4DEC7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</w:t>
            </w:r>
            <w:r w:rsidR="006F29F3">
              <w:rPr>
                <w:rFonts w:ascii="Arial" w:hAnsi="Arial" w:cs="Arial"/>
                <w:i/>
                <w:sz w:val="22"/>
              </w:rPr>
              <w:t xml:space="preserve"> de pasado</w:t>
            </w:r>
            <w:r>
              <w:rPr>
                <w:rFonts w:ascii="Arial" w:hAnsi="Arial" w:cs="Arial"/>
                <w:i/>
                <w:sz w:val="22"/>
              </w:rPr>
              <w:t xml:space="preserve"> (contraste, marcadores, </w:t>
            </w:r>
            <w:r w:rsidR="006F29F3">
              <w:rPr>
                <w:rFonts w:ascii="Arial" w:hAnsi="Arial" w:cs="Arial"/>
                <w:i/>
                <w:sz w:val="22"/>
              </w:rPr>
              <w:t>funciones y valores).</w:t>
            </w:r>
          </w:p>
          <w:p w:rsidR="006F29F3" w:rsidP="001F6A70" w:rsidRDefault="006F29F3" w14:paraId="6E8A43C6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Uso de tiempos verbales de futuro y condicional (funciones y valores).</w:t>
            </w:r>
          </w:p>
          <w:p w:rsidR="006F29F3" w:rsidP="001F6A70" w:rsidRDefault="006F29F3" w14:paraId="0198F144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Expresión de inseguridad.</w:t>
            </w:r>
          </w:p>
          <w:p w:rsidRPr="006F29F3" w:rsidR="00DD7BA4" w:rsidP="001F6A70" w:rsidRDefault="006F29F3" w14:paraId="76DFE9B5" w14:textId="7C3684C0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Contraste indicativo y subjuntivo en preguntas, y selección del modo adecuado según la intención del hablante. </w:t>
            </w:r>
            <w:r w:rsidR="008A77FA">
              <w:rPr>
                <w:rFonts w:ascii="Arial" w:hAnsi="Arial" w:cs="Arial"/>
                <w:i/>
                <w:sz w:val="22"/>
              </w:rPr>
              <w:t xml:space="preserve"> 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13B5400F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Sueña </w:t>
            </w:r>
            <w:r w:rsidR="008A77FA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4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A6ED1" w:rsidRDefault="00CA6ED1" w14:paraId="513E5735" w14:textId="77777777">
      <w:r>
        <w:separator/>
      </w:r>
    </w:p>
  </w:endnote>
  <w:endnote w:type="continuationSeparator" w:id="0">
    <w:p w:rsidR="00CA6ED1" w:rsidRDefault="00CA6ED1" w14:paraId="449699B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A6ED1" w:rsidRDefault="00CA6ED1" w14:paraId="1985926B" w14:textId="77777777">
      <w:r>
        <w:separator/>
      </w:r>
    </w:p>
  </w:footnote>
  <w:footnote w:type="continuationSeparator" w:id="0">
    <w:p w:rsidR="00CA6ED1" w:rsidRDefault="00CA6ED1" w14:paraId="4E35C9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2A0286"/>
    <w:rsid w:val="00303F50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6F29F3"/>
    <w:rsid w:val="00700CD5"/>
    <w:rsid w:val="00716872"/>
    <w:rsid w:val="007B20DC"/>
    <w:rsid w:val="00810850"/>
    <w:rsid w:val="00827D3B"/>
    <w:rsid w:val="00847145"/>
    <w:rsid w:val="008A77FA"/>
    <w:rsid w:val="008B703C"/>
    <w:rsid w:val="008D3E4B"/>
    <w:rsid w:val="009007CA"/>
    <w:rsid w:val="009026FF"/>
    <w:rsid w:val="00907F91"/>
    <w:rsid w:val="0093504C"/>
    <w:rsid w:val="009C291A"/>
    <w:rsid w:val="009D64AC"/>
    <w:rsid w:val="00A268AD"/>
    <w:rsid w:val="00A8544F"/>
    <w:rsid w:val="00AE5113"/>
    <w:rsid w:val="00AF5E81"/>
    <w:rsid w:val="00B066E9"/>
    <w:rsid w:val="00B21F29"/>
    <w:rsid w:val="00B52E05"/>
    <w:rsid w:val="00B80824"/>
    <w:rsid w:val="00C04084"/>
    <w:rsid w:val="00C6100D"/>
    <w:rsid w:val="00C86706"/>
    <w:rsid w:val="00CA6ED1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75B33"/>
    <w:rsid w:val="00E8229F"/>
    <w:rsid w:val="00F24E03"/>
    <w:rsid w:val="00F42BC4"/>
    <w:rsid w:val="00F56D94"/>
    <w:rsid w:val="00FA2C85"/>
    <w:rsid w:val="1FBCC871"/>
    <w:rsid w:val="27B507BD"/>
    <w:rsid w:val="2860952F"/>
    <w:rsid w:val="2873EA66"/>
    <w:rsid w:val="2BB6BFC2"/>
    <w:rsid w:val="3A1015CD"/>
    <w:rsid w:val="591AE6FC"/>
    <w:rsid w:val="7080C5CC"/>
    <w:rsid w:val="70957307"/>
    <w:rsid w:val="7131F211"/>
    <w:rsid w:val="755E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EE490D-F2E0-4F49-8631-CE6E8A96ACA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9</revision>
  <lastPrinted>2012-01-27T07:28:00.0000000Z</lastPrinted>
  <dcterms:created xsi:type="dcterms:W3CDTF">2023-09-26T08:28:00.0000000Z</dcterms:created>
  <dcterms:modified xsi:type="dcterms:W3CDTF">2024-10-28T12:29:19.7497050Z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