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AD" w:rsidRDefault="002C7FE1" w:rsidP="00601553">
      <w:pPr>
        <w:pStyle w:val="Normal0"/>
        <w:keepNext/>
        <w:jc w:val="center"/>
        <w:rPr>
          <w:rFonts w:ascii="Arial" w:eastAsia="Arial" w:hAnsi="Arial" w:cs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KARTA KURSU (realizowanego w specjalności)</w:t>
      </w:r>
    </w:p>
    <w:p w:rsidR="004F77AD" w:rsidRDefault="004F77AD">
      <w:pPr>
        <w:pStyle w:val="Normal0"/>
        <w:keepNext/>
        <w:jc w:val="center"/>
        <w:rPr>
          <w:rFonts w:ascii="Arial" w:eastAsia="Arial" w:hAnsi="Arial" w:cs="Arial"/>
          <w:b/>
          <w:bCs/>
        </w:rPr>
      </w:pPr>
    </w:p>
    <w:p w:rsidR="004F77AD" w:rsidRDefault="004F77AD">
      <w:pPr>
        <w:pStyle w:val="Normal0"/>
        <w:keepNext/>
        <w:jc w:val="center"/>
        <w:rPr>
          <w:rFonts w:ascii="Arial" w:eastAsia="Arial" w:hAnsi="Arial" w:cs="Arial"/>
          <w:b/>
          <w:bCs/>
        </w:rPr>
      </w:pPr>
    </w:p>
    <w:p w:rsidR="004F77AD" w:rsidRDefault="002C7FE1">
      <w:pPr>
        <w:pStyle w:val="Normal0"/>
        <w:jc w:val="center"/>
        <w:rPr>
          <w:rFonts w:ascii="Arial" w:eastAsia="Arial" w:hAnsi="Arial" w:cs="Arial"/>
          <w:lang w:val="en-US"/>
        </w:rPr>
      </w:pPr>
      <w:r>
        <w:rPr>
          <w:rFonts w:ascii="Arial" w:hAnsi="Arial"/>
          <w:b/>
          <w:bCs/>
          <w:lang w:val="en-US"/>
        </w:rPr>
        <w:t>Przekładoznawstwo i technologie tłumaczeniowe</w:t>
      </w:r>
    </w:p>
    <w:p w:rsidR="004F77AD" w:rsidRDefault="002C7FE1">
      <w:pPr>
        <w:pStyle w:val="Normal0"/>
        <w:keepNext/>
        <w:jc w:val="center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</w:p>
    <w:p w:rsidR="004F77AD" w:rsidRDefault="002C7FE1">
      <w:pPr>
        <w:pStyle w:val="Normal0"/>
        <w:keepNext/>
        <w:jc w:val="center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>(nazwa specjalności)</w:t>
      </w:r>
    </w:p>
    <w:p w:rsidR="004F77AD" w:rsidRDefault="004F77AD">
      <w:pPr>
        <w:pStyle w:val="Normal0"/>
        <w:jc w:val="center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9645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4F77AD">
        <w:trPr>
          <w:trHeight w:val="240"/>
          <w:jc w:val="center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spacing w:before="57" w:after="57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4F77AD" w:rsidRDefault="002C7FE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100" w:lineRule="atLeast"/>
              <w:jc w:val="center"/>
              <w:rPr>
                <w:rFonts w:eastAsia="Arial Unicode MS" w:hint="eastAsia"/>
                <w:lang w:eastAsia="pl-PL" w:bidi="ar-SA"/>
              </w:rPr>
            </w:pPr>
            <w:r>
              <w:rPr>
                <w:rFonts w:ascii="Arial" w:eastAsia="Arial Unicode MS" w:hAnsi="Arial"/>
                <w:lang w:val="es-ES" w:eastAsia="pl-PL" w:bidi="ar-SA"/>
              </w:rPr>
              <w:t>Zarządzanie procesem przekładu</w:t>
            </w:r>
          </w:p>
        </w:tc>
      </w:tr>
      <w:tr w:rsidR="004F77AD">
        <w:trPr>
          <w:trHeight w:val="238"/>
          <w:jc w:val="center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spacing w:before="57" w:after="57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4F77AD" w:rsidRPr="00601553" w:rsidRDefault="002C7FE1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59" w:lineRule="auto"/>
              <w:jc w:val="center"/>
              <w:rPr>
                <w:rFonts w:eastAsia="Arial Unicode MS" w:hint="eastAsia"/>
                <w:i/>
                <w:kern w:val="0"/>
                <w:lang w:eastAsia="pl-PL" w:bidi="ar-SA"/>
              </w:rPr>
            </w:pPr>
            <w:r w:rsidRPr="00601553">
              <w:rPr>
                <w:rFonts w:ascii="Arial" w:eastAsia="Arial Unicode MS" w:hAnsi="Arial"/>
                <w:i/>
                <w:kern w:val="0"/>
                <w:lang w:eastAsia="pl-PL" w:bidi="ar-SA"/>
              </w:rPr>
              <w:t>T</w:t>
            </w:r>
            <w:r w:rsidRPr="00601553">
              <w:rPr>
                <w:rFonts w:ascii="Arial" w:eastAsia="Arial Unicode MS" w:hAnsi="Arial"/>
                <w:i/>
                <w:kern w:val="0"/>
                <w:lang w:val="en-US" w:eastAsia="pl-PL" w:bidi="ar-SA"/>
              </w:rPr>
              <w:t>ranslation Managment</w:t>
            </w:r>
          </w:p>
        </w:tc>
      </w:tr>
    </w:tbl>
    <w:p w:rsidR="004F77AD" w:rsidRDefault="004F77AD">
      <w:pPr>
        <w:pStyle w:val="Normal0"/>
        <w:ind w:left="108" w:hanging="108"/>
        <w:jc w:val="center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W w:w="9645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187"/>
        <w:gridCol w:w="3192"/>
        <w:gridCol w:w="3266"/>
      </w:tblGrid>
      <w:tr w:rsidR="004F77AD">
        <w:trPr>
          <w:trHeight w:val="218"/>
          <w:jc w:val="center"/>
        </w:trPr>
        <w:tc>
          <w:tcPr>
            <w:tcW w:w="3187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Koordynator</w:t>
            </w:r>
          </w:p>
        </w:tc>
        <w:tc>
          <w:tcPr>
            <w:tcW w:w="3192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auto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it-IT" w:eastAsia="pl-PL" w:bidi="ar-SA"/>
              </w:rPr>
              <w:t>dr Maciej Jaskot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Zespół dydaktyczny</w:t>
            </w:r>
          </w:p>
        </w:tc>
      </w:tr>
      <w:tr w:rsidR="004F77AD">
        <w:trPr>
          <w:trHeight w:val="276"/>
          <w:jc w:val="center"/>
        </w:trPr>
        <w:tc>
          <w:tcPr>
            <w:tcW w:w="318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319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</w:tcBorders>
            <w:shd w:val="clear" w:color="auto" w:fill="auto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Zespół pracowników Katedry Językoznawstwa Hiszpańskiego i Dydaktyki Języków Iberyjskich</w:t>
            </w:r>
          </w:p>
        </w:tc>
      </w:tr>
      <w:tr w:rsidR="004F77AD">
        <w:trPr>
          <w:trHeight w:val="292"/>
          <w:jc w:val="center"/>
        </w:trPr>
        <w:tc>
          <w:tcPr>
            <w:tcW w:w="3187" w:type="dxa"/>
            <w:tcBorders>
              <w:top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3192" w:type="dxa"/>
            <w:tcBorders>
              <w:top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32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225"/>
          <w:jc w:val="center"/>
        </w:trPr>
        <w:tc>
          <w:tcPr>
            <w:tcW w:w="31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Punktacja ECTS*</w:t>
            </w:r>
          </w:p>
        </w:tc>
        <w:tc>
          <w:tcPr>
            <w:tcW w:w="319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4F77AD" w:rsidRDefault="00601553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32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</w:tbl>
    <w:p w:rsidR="004F77AD" w:rsidRDefault="004F77AD">
      <w:pPr>
        <w:pStyle w:val="Normal0"/>
        <w:ind w:left="108" w:hanging="108"/>
        <w:jc w:val="center"/>
        <w:rPr>
          <w:rFonts w:ascii="Arial" w:eastAsia="Arial" w:hAnsi="Arial" w:cs="Arial"/>
          <w:sz w:val="20"/>
          <w:szCs w:val="20"/>
          <w:lang w:val="en-US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0"/>
          <w:szCs w:val="20"/>
          <w:lang w:val="en-US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0"/>
          <w:szCs w:val="20"/>
        </w:rPr>
      </w:pPr>
    </w:p>
    <w:p w:rsidR="004F77AD" w:rsidRDefault="004F77AD">
      <w:pPr>
        <w:pStyle w:val="Normal0"/>
        <w:jc w:val="center"/>
        <w:rPr>
          <w:rFonts w:ascii="Arial" w:eastAsia="Arial" w:hAnsi="Arial" w:cs="Arial"/>
          <w:sz w:val="20"/>
          <w:szCs w:val="20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kursu (cele kształcenia)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50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50"/>
      </w:tblGrid>
      <w:tr w:rsidR="004F77AD">
        <w:trPr>
          <w:trHeight w:val="122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after="160" w:line="259" w:lineRule="auto"/>
              <w:jc w:val="both"/>
              <w:rPr>
                <w:rFonts w:ascii="Times New Roman" w:eastAsia="Arial Unicode MS" w:hAnsi="Times New Roman"/>
                <w:kern w:val="0"/>
                <w:lang w:eastAsia="pl-PL" w:bidi="ar-SA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 xml:space="preserve">Celem kursu jest zdobycie 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umiejętności zarządzania procesem przekładu.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Efekty uczenia się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50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4F77AD">
        <w:trPr>
          <w:trHeight w:val="995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8" w:space="0" w:color="FFFFFF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:rsidR="004F77AD" w:rsidRDefault="002C7FE1">
            <w:pPr>
              <w:pStyle w:val="Normal0"/>
              <w:jc w:val="center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w:rsidR="004F77AD">
        <w:trPr>
          <w:trHeight w:val="2366"/>
        </w:trPr>
        <w:tc>
          <w:tcPr>
            <w:tcW w:w="197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01553"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W01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01553"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 xml:space="preserve">Student 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ma poszerzoną wiedzę na temat funkcjonowania rynku tłumacze</w:t>
            </w:r>
            <w:bookmarkStart w:id="0" w:name="_GoBack"/>
            <w:bookmarkEnd w:id="0"/>
            <w:r w:rsidRPr="00601553"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niowego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 xml:space="preserve">, zna obowiązujące zasady i dobre praktyki branżowe 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W02,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Student wie na czym polega zarządzanie procesem tłumaczeniowym 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W03,</w:t>
            </w:r>
          </w:p>
          <w:p w:rsidR="004F77AD" w:rsidRDefault="002C7FE1">
            <w:pPr>
              <w:pStyle w:val="Normal0"/>
              <w:spacing w:line="259" w:lineRule="auto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Student zna narzędzia i metody zarządzania procesem przekładu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W01,</w:t>
            </w:r>
          </w:p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W02,</w:t>
            </w:r>
          </w:p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W03,</w:t>
            </w:r>
          </w:p>
          <w:p w:rsidR="004F77AD" w:rsidRDefault="002C7FE1">
            <w:pPr>
              <w:pStyle w:val="Normal0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W04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50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4F77AD">
        <w:trPr>
          <w:trHeight w:val="995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8" w:space="0" w:color="FFFFFF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:rsidR="004F77AD" w:rsidRDefault="002C7FE1">
            <w:pPr>
              <w:pStyle w:val="Normal0"/>
              <w:jc w:val="center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w:rsidR="004F77AD">
        <w:trPr>
          <w:trHeight w:val="2366"/>
        </w:trPr>
        <w:tc>
          <w:tcPr>
            <w:tcW w:w="198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 xml:space="preserve">U01 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Student rozumie potrzebę zarządzania procesem tłumaczeniowym  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U02,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Student potrafi 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określić jakie narzędzia i metody należy wykorzystać do zarządzania danym procesem oraz dostosować je do skali i charakteru procesu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U03</w:t>
            </w:r>
          </w:p>
          <w:p w:rsidR="004F77AD" w:rsidRDefault="002C7FE1">
            <w:pPr>
              <w:pStyle w:val="Normal0"/>
              <w:spacing w:line="259" w:lineRule="auto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Student potrafi identyfikować problemy w procesie zarządzania i proponować ich optymalne rozwiązania</w:t>
            </w: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U01,</w:t>
            </w:r>
          </w:p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U02,</w:t>
            </w:r>
          </w:p>
          <w:p w:rsidR="004F77AD" w:rsidRDefault="002C7FE1">
            <w:pPr>
              <w:pStyle w:val="Normal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U03,</w:t>
            </w:r>
          </w:p>
          <w:p w:rsidR="004F77AD" w:rsidRDefault="002C7FE1">
            <w:pPr>
              <w:pStyle w:val="Normal0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U04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50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4F77AD">
        <w:trPr>
          <w:trHeight w:val="995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8" w:space="0" w:color="FFFFFF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Efekt uczenia się dla kursu</w:t>
            </w: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Odniesienie do efektów dla specjalności</w:t>
            </w:r>
          </w:p>
          <w:p w:rsidR="004F77AD" w:rsidRDefault="002C7FE1">
            <w:pPr>
              <w:pStyle w:val="Normal0"/>
              <w:jc w:val="center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16"/>
                <w:szCs w:val="16"/>
                <w:lang w:val="en-US" w:eastAsia="pl-PL" w:bidi="ar-SA"/>
              </w:rPr>
              <w:t>(określonych w karcie programu studiów dla specjalności)</w:t>
            </w:r>
          </w:p>
        </w:tc>
      </w:tr>
      <w:tr w:rsidR="004F77AD">
        <w:trPr>
          <w:trHeight w:val="2839"/>
        </w:trPr>
        <w:tc>
          <w:tcPr>
            <w:tcW w:w="198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2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K01,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Student rozumie wielowymiarowość roli tłumac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za we współczesnym społeczeństwie,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K02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Student 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potrafi aktywnie uczestniczyć w zarządzaniu procesem tłumaczeniowym i w ramach tego procesu współpracować z innymi tłumaczami oraz biurami tłumaczeń</w:t>
            </w:r>
          </w:p>
          <w:p w:rsidR="004F77AD" w:rsidRDefault="002C7FE1">
            <w:pPr>
              <w:pStyle w:val="Normal0"/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K03</w:t>
            </w:r>
          </w:p>
          <w:p w:rsidR="004F77AD" w:rsidRDefault="002C7FE1">
            <w:pPr>
              <w:pStyle w:val="Normal0"/>
              <w:spacing w:line="259" w:lineRule="auto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Student potrafi współdziałać z innymi profesjonalistami, w tym z przedstawicielami innych profesji i ku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ltur, którzy mogą być jego klientami lub zleceniodawcami</w:t>
            </w: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K01,</w:t>
            </w:r>
          </w:p>
          <w:p w:rsidR="004F77AD" w:rsidRDefault="002C7FE1">
            <w:pPr>
              <w:pStyle w:val="Normal0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K02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32" w:type="dxa"/>
        <w:tblInd w:w="216" w:type="dxa"/>
        <w:tblLayout w:type="fixed"/>
        <w:tblCellMar>
          <w:top w:w="80" w:type="dxa"/>
          <w:left w:w="125" w:type="dxa"/>
          <w:bottom w:w="80" w:type="dxa"/>
          <w:right w:w="217" w:type="dxa"/>
        </w:tblCellMar>
        <w:tblLook w:val="04A0" w:firstRow="1" w:lastRow="0" w:firstColumn="1" w:lastColumn="0" w:noHBand="0" w:noVBand="1"/>
      </w:tblPr>
      <w:tblGrid>
        <w:gridCol w:w="1607"/>
        <w:gridCol w:w="1222"/>
        <w:gridCol w:w="851"/>
        <w:gridCol w:w="271"/>
        <w:gridCol w:w="860"/>
        <w:gridCol w:w="315"/>
        <w:gridCol w:w="816"/>
        <w:gridCol w:w="286"/>
        <w:gridCol w:w="847"/>
        <w:gridCol w:w="284"/>
        <w:gridCol w:w="849"/>
        <w:gridCol w:w="283"/>
        <w:gridCol w:w="851"/>
        <w:gridCol w:w="290"/>
      </w:tblGrid>
      <w:tr w:rsidR="004F77AD">
        <w:trPr>
          <w:trHeight w:val="270"/>
        </w:trPr>
        <w:tc>
          <w:tcPr>
            <w:tcW w:w="9631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Zawartotabeli"/>
              <w:spacing w:before="57" w:after="57"/>
              <w:ind w:left="45" w:right="13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Organizacja</w:t>
            </w:r>
          </w:p>
        </w:tc>
      </w:tr>
      <w:tr w:rsidR="004F77AD">
        <w:trPr>
          <w:trHeight w:val="499"/>
        </w:trPr>
        <w:tc>
          <w:tcPr>
            <w:tcW w:w="1606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Forma zajęć</w:t>
            </w:r>
          </w:p>
        </w:tc>
        <w:tc>
          <w:tcPr>
            <w:tcW w:w="1222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8" w:space="0" w:color="FFFFFF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Ćwiczenia w grupach</w:t>
            </w:r>
          </w:p>
        </w:tc>
      </w:tr>
      <w:tr w:rsidR="004F77AD">
        <w:trPr>
          <w:trHeight w:val="323"/>
        </w:trPr>
        <w:tc>
          <w:tcPr>
            <w:tcW w:w="160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22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A</w:t>
            </w:r>
          </w:p>
        </w:tc>
        <w:tc>
          <w:tcPr>
            <w:tcW w:w="27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1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28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4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E</w:t>
            </w:r>
          </w:p>
        </w:tc>
        <w:tc>
          <w:tcPr>
            <w:tcW w:w="29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45"/>
        </w:trPr>
        <w:tc>
          <w:tcPr>
            <w:tcW w:w="160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Liczba godz</w:t>
            </w: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in</w:t>
            </w:r>
          </w:p>
        </w:tc>
        <w:tc>
          <w:tcPr>
            <w:tcW w:w="122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75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8"/>
        </w:trPr>
        <w:tc>
          <w:tcPr>
            <w:tcW w:w="160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22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75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Opis metod prowadzenia zajęć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32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w:rsidR="004F77AD">
        <w:trPr>
          <w:trHeight w:val="178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after="160" w:line="259" w:lineRule="auto"/>
              <w:jc w:val="both"/>
              <w:rPr>
                <w:rFonts w:ascii="Times New Roman" w:eastAsia="Arial Unicode MS" w:hAnsi="Times New Roman"/>
                <w:kern w:val="0"/>
                <w:lang w:eastAsia="pl-PL" w:bidi="ar-SA"/>
              </w:rPr>
            </w:pPr>
            <w:r>
              <w:rPr>
                <w:rFonts w:ascii="Times New Roman" w:eastAsia="Arial Unicode MS" w:hAnsi="Times New Roman"/>
                <w:kern w:val="0"/>
                <w:lang w:eastAsia="pl-PL" w:bidi="ar-SA"/>
              </w:rPr>
              <w:t>Zajęcia warsztatowe z aktywnym udziałem student</w:t>
            </w:r>
            <w:r w:rsidRPr="00601553">
              <w:rPr>
                <w:rFonts w:ascii="Times New Roman" w:eastAsia="Arial Unicode MS" w:hAnsi="Times New Roman"/>
                <w:kern w:val="0"/>
                <w:lang w:eastAsia="pl-PL" w:bidi="ar-SA"/>
              </w:rPr>
              <w:t>ó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w</w:t>
            </w:r>
            <w:r>
              <w:rPr>
                <w:rFonts w:ascii="Times New Roman" w:eastAsia="Arial Unicode MS" w:hAnsi="Times New Roman"/>
                <w:kern w:val="0"/>
                <w:lang w:eastAsia="pl-PL" w:bidi="ar-SA"/>
              </w:rPr>
              <w:t>. Praca indywidualna i w grupach, praca z podziałem na role; dyskusja</w:t>
            </w:r>
            <w:r>
              <w:rPr>
                <w:rFonts w:ascii="Times New Roman" w:eastAsia="Arial Unicode MS" w:hAnsi="Times New Roman"/>
                <w:kern w:val="0"/>
                <w:sz w:val="26"/>
                <w:szCs w:val="26"/>
                <w:lang w:eastAsia="pl-PL" w:bidi="ar-SA"/>
              </w:rPr>
              <w:t>.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Zawartotabeli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Formy sprawdzania efektów uczenia się</w:t>
      </w: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W w:w="9631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4"/>
        <w:gridCol w:w="664"/>
        <w:gridCol w:w="668"/>
        <w:gridCol w:w="665"/>
        <w:gridCol w:w="667"/>
        <w:gridCol w:w="665"/>
        <w:gridCol w:w="667"/>
        <w:gridCol w:w="666"/>
        <w:gridCol w:w="665"/>
        <w:gridCol w:w="565"/>
        <w:gridCol w:w="768"/>
        <w:gridCol w:w="666"/>
        <w:gridCol w:w="665"/>
        <w:gridCol w:w="676"/>
      </w:tblGrid>
      <w:tr w:rsidR="004F77AD">
        <w:trPr>
          <w:trHeight w:val="1553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 xml:space="preserve">E – 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Gry dydaktyczne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Ćwiczenia w szkole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Egzamin ustny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93" w:type="dxa"/>
              <w:right w:w="193" w:type="dxa"/>
            </w:tcMar>
            <w:vAlign w:val="center"/>
          </w:tcPr>
          <w:p w:rsidR="004F77AD" w:rsidRDefault="002C7FE1">
            <w:pPr>
              <w:pStyle w:val="Normal0"/>
              <w:ind w:left="113" w:right="113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de-DE" w:eastAsia="pl-PL" w:bidi="ar-SA"/>
              </w:rPr>
              <w:t>Inne</w:t>
            </w: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Tekstdymka"/>
              <w:jc w:val="center"/>
              <w:rPr>
                <w:rFonts w:eastAsia="Arial Unicode MS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W01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W02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W03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U01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U02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U03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K01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K02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300"/>
        </w:trPr>
        <w:tc>
          <w:tcPr>
            <w:tcW w:w="9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K03</w:t>
            </w:r>
          </w:p>
        </w:tc>
        <w:tc>
          <w:tcPr>
            <w:tcW w:w="6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line="259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2"/>
                <w:szCs w:val="22"/>
                <w:lang w:val="en-US" w:eastAsia="pl-PL" w:bidi="ar-S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</w:tbl>
    <w:p w:rsidR="004F77AD" w:rsidRDefault="004F77AD">
      <w:pPr>
        <w:pStyle w:val="Zawartotabeli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W w:w="9645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5"/>
      </w:tblGrid>
      <w:tr w:rsidR="004F77AD">
        <w:trPr>
          <w:trHeight w:val="5188"/>
        </w:trPr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Zawartotabeli"/>
              <w:spacing w:before="57" w:after="57"/>
              <w:jc w:val="center"/>
              <w:rPr>
                <w:rFonts w:eastAsia="Arial Unicode MS" w:cs="Times New Roman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 w:cs="Times New Roman"/>
                <w:kern w:val="0"/>
                <w:sz w:val="20"/>
                <w:szCs w:val="20"/>
                <w:lang w:val="en-US" w:eastAsia="pl-PL" w:bidi="ar-SA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4F77AD" w:rsidRDefault="002C7FE1">
            <w:pPr>
              <w:pStyle w:val="Normal0"/>
              <w:spacing w:line="276" w:lineRule="auto"/>
              <w:rPr>
                <w:rFonts w:hint="eastAsia"/>
                <w:lang w:val="en-US"/>
              </w:rPr>
            </w:pPr>
            <w:r>
              <w:rPr>
                <w:rFonts w:ascii="Arial" w:eastAsia="Arial Unicode MS" w:hAnsi="Arial"/>
                <w:kern w:val="0"/>
                <w:lang w:val="en-US" w:eastAsia="pl-PL" w:bidi="ar-SA"/>
              </w:rPr>
              <w:t xml:space="preserve">Podstawą do zaliczenia przedmiotu jest aktywny udział w zajęciach, analiza i realizacja projektów tłumaczeniowych, udział w dyskusji  na ich temat. Projekty tłumaczeniowe muszą być efektem własnej pracy, możliwa jest praca w parach. </w:t>
            </w:r>
          </w:p>
        </w:tc>
      </w:tr>
    </w:tbl>
    <w:p w:rsidR="004F77AD" w:rsidRDefault="004F77AD">
      <w:pPr>
        <w:pStyle w:val="Zawartotabeli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45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40"/>
        <w:gridCol w:w="7705"/>
      </w:tblGrid>
      <w:tr w:rsidR="004F77AD">
        <w:trPr>
          <w:trHeight w:val="934"/>
        </w:trPr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spacing w:after="57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4F77AD" w:rsidRDefault="002C7FE1">
            <w:pPr>
              <w:pStyle w:val="Body"/>
              <w:widowControl w:val="0"/>
              <w:spacing w:after="160" w:line="259" w:lineRule="auto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Zaliczenie z oceną. 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Treści merytoryczne (wykaz tematów)</w:t>
      </w:r>
    </w:p>
    <w:tbl>
      <w:tblPr>
        <w:tblW w:w="9632" w:type="dxa"/>
        <w:tblInd w:w="216" w:type="dxa"/>
        <w:tblLayout w:type="fixed"/>
        <w:tblCellMar>
          <w:top w:w="80" w:type="dxa"/>
          <w:left w:w="80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w:rsidR="004F77AD">
        <w:trPr>
          <w:trHeight w:val="6983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lastRenderedPageBreak/>
              <w:t xml:space="preserve">Branża tłumaczeniowa i tłumaczeniowy rynek pracy- sytuacja aktualna i perspektywy, formy 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zatrudnienia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Kwalifikacje i kompetencje pożądane w zawodzie tłumacza, podnoszenie swoich kompetencji, w tym również kompetencji pozajęzykowych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 xml:space="preserve">Umiejętność zarządzania swoim czasem i zasobami w zawodzie tłumacza 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Umiejętność tworzenia sobie właściwych warun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ków pracy pozwalających uniknąć przeciążeń psychicznych i fizycznych; ryzyko chorób związanych z wykonywaniem zawodu tłumacza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Zarządzanie jakością w tłumaczeniu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Negocjowanie warunków pracy i płacy z klientami i pośrednikami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Tłumacz jako członek zespołu - u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miejętność współpracy i komunikacji z innymi tłumaczami i z osobami odpowiedzialnymi za zarządzanie procesem tłumaczeniowym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Tłumacz jako zleceniobiorca - współpraca z biurami tłumaczeń, wydawnictwami, firmami świadczącymi usługi lokalizacyjne</w:t>
            </w:r>
          </w:p>
          <w:p w:rsidR="004F77AD" w:rsidRDefault="002C7FE1">
            <w:pPr>
              <w:pStyle w:val="Akapitzlist"/>
              <w:spacing w:line="360" w:lineRule="auto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 xml:space="preserve">Tłumacz jako </w:t>
            </w: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usługodawca - komunikacja z klientami, umiejętność zrozumienia ich potrzeb i wymagań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podstawowej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32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w:rsidR="004F77AD">
        <w:trPr>
          <w:trHeight w:val="95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77AD" w:rsidRDefault="004F77AD">
            <w:pPr>
              <w:pStyle w:val="Normal0"/>
              <w:spacing w:line="360" w:lineRule="auto"/>
              <w:jc w:val="both"/>
              <w:rPr>
                <w:rFonts w:hint="eastAsia"/>
                <w:lang w:val="nl-NL"/>
              </w:rPr>
            </w:pP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hint="eastAsia"/>
        </w:rPr>
      </w:pPr>
    </w:p>
    <w:p w:rsidR="004F77AD" w:rsidRDefault="002C7FE1">
      <w:pPr>
        <w:pStyle w:val="Normal0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Wykaz literatury uzupełniającej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632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632"/>
      </w:tblGrid>
      <w:tr w:rsidR="004F77AD">
        <w:trPr>
          <w:trHeight w:val="97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:rsidR="004F77AD" w:rsidRDefault="002C7FE1">
            <w:pPr>
              <w:pStyle w:val="Normal0"/>
              <w:spacing w:after="160" w:line="259" w:lineRule="auto"/>
              <w:jc w:val="both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Źródła internetowe.</w:t>
            </w:r>
          </w:p>
          <w:p w:rsidR="004F77AD" w:rsidRDefault="002C7FE1">
            <w:pPr>
              <w:pStyle w:val="Normal0"/>
              <w:spacing w:after="160" w:line="259" w:lineRule="auto"/>
              <w:jc w:val="both"/>
              <w:rPr>
                <w:rFonts w:hint="eastAsia"/>
                <w:lang w:val="en-US"/>
              </w:rPr>
            </w:pPr>
            <w:r>
              <w:rPr>
                <w:rFonts w:ascii="Times New Roman" w:eastAsia="Arial Unicode MS" w:hAnsi="Times New Roman"/>
                <w:kern w:val="0"/>
                <w:lang w:val="en-US" w:eastAsia="pl-PL" w:bidi="ar-SA"/>
              </w:rPr>
              <w:t>Materiały własne prowadzącego.</w:t>
            </w:r>
          </w:p>
        </w:tc>
      </w:tr>
    </w:tbl>
    <w:p w:rsidR="004F77AD" w:rsidRDefault="004F77AD">
      <w:pPr>
        <w:pStyle w:val="Normal0"/>
        <w:ind w:left="108" w:hanging="108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p w:rsidR="004F77AD" w:rsidRPr="00601553" w:rsidRDefault="004F77AD">
      <w:pPr>
        <w:pStyle w:val="Tekstdymka"/>
        <w:rPr>
          <w:rFonts w:ascii="Arial" w:eastAsia="Arial" w:hAnsi="Arial" w:cs="Arial"/>
          <w:sz w:val="22"/>
          <w:szCs w:val="22"/>
          <w:lang w:val="pl-PL"/>
        </w:rPr>
      </w:pPr>
    </w:p>
    <w:p w:rsidR="004F77AD" w:rsidRPr="00601553" w:rsidRDefault="002C7FE1">
      <w:pPr>
        <w:pStyle w:val="Tekstdymka"/>
        <w:rPr>
          <w:rFonts w:ascii="Arial" w:eastAsia="Arial" w:hAnsi="Arial" w:cs="Arial"/>
          <w:sz w:val="22"/>
          <w:szCs w:val="22"/>
          <w:lang w:val="pl-PL"/>
        </w:rPr>
      </w:pPr>
      <w:r w:rsidRPr="00601553">
        <w:rPr>
          <w:rFonts w:ascii="Arial" w:hAnsi="Arial"/>
          <w:sz w:val="22"/>
          <w:szCs w:val="22"/>
          <w:lang w:val="pl-PL"/>
        </w:rPr>
        <w:t xml:space="preserve">Bilans godzinowy zgodny z CNPS </w:t>
      </w:r>
      <w:r w:rsidRPr="00601553">
        <w:rPr>
          <w:rFonts w:ascii="Arial" w:hAnsi="Arial"/>
          <w:sz w:val="22"/>
          <w:szCs w:val="22"/>
          <w:lang w:val="pl-PL"/>
        </w:rPr>
        <w:t>(Całkowity Nakład Pracy Studenta)</w:t>
      </w:r>
    </w:p>
    <w:p w:rsidR="004F77AD" w:rsidRDefault="004F77AD">
      <w:pPr>
        <w:pStyle w:val="Normal0"/>
        <w:rPr>
          <w:rFonts w:ascii="Arial" w:eastAsia="Arial" w:hAnsi="Arial" w:cs="Arial"/>
          <w:sz w:val="22"/>
          <w:szCs w:val="22"/>
        </w:rPr>
      </w:pPr>
    </w:p>
    <w:tbl>
      <w:tblPr>
        <w:tblW w:w="9592" w:type="dxa"/>
        <w:tblInd w:w="216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4F77AD">
        <w:trPr>
          <w:trHeight w:val="30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8" w:space="0" w:color="FFFFFF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spacing w:line="276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lastRenderedPageBreak/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233"/>
        </w:trPr>
        <w:tc>
          <w:tcPr>
            <w:tcW w:w="27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</w:tr>
      <w:tr w:rsidR="004F77AD">
        <w:trPr>
          <w:trHeight w:val="530"/>
        </w:trPr>
        <w:tc>
          <w:tcPr>
            <w:tcW w:w="27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</w:tr>
      <w:tr w:rsidR="004F77AD">
        <w:trPr>
          <w:trHeight w:val="233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8" w:space="0" w:color="FFFFFF"/>
              <w:right w:val="single" w:sz="4" w:space="0" w:color="C0C0C0"/>
            </w:tcBorders>
            <w:shd w:val="clear" w:color="auto" w:fill="DBE5F1"/>
            <w:vAlign w:val="center"/>
          </w:tcPr>
          <w:p w:rsidR="004F77AD" w:rsidRDefault="002C7FE1">
            <w:pPr>
              <w:pStyle w:val="Normal0"/>
              <w:spacing w:line="276" w:lineRule="auto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 xml:space="preserve">Lektura 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w ramach przygotowania do zajęć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</w:tr>
      <w:tr w:rsidR="004F77AD">
        <w:trPr>
          <w:trHeight w:val="570"/>
        </w:trPr>
        <w:tc>
          <w:tcPr>
            <w:tcW w:w="27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Przygotowanie kr</w:t>
            </w:r>
            <w:r w:rsidRPr="00601553"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ó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 xml:space="preserve">tkiej pracy pisemnej lub referatu po zapoznaniu się z niezbędną </w:t>
            </w:r>
            <w:r w:rsidRPr="00601553"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literatur</w:t>
            </w: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ą przedmiotu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</w:tr>
      <w:tr w:rsidR="004F77AD">
        <w:trPr>
          <w:trHeight w:val="591"/>
        </w:trPr>
        <w:tc>
          <w:tcPr>
            <w:tcW w:w="27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</w:tr>
      <w:tr w:rsidR="004F77AD">
        <w:trPr>
          <w:trHeight w:val="233"/>
        </w:trPr>
        <w:tc>
          <w:tcPr>
            <w:tcW w:w="276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77AD" w:rsidRDefault="004F77AD">
            <w:pPr>
              <w:widowControl w:val="0"/>
              <w:rPr>
                <w:rFonts w:ascii="Times New Roman" w:eastAsia="Arial Unicode MS" w:hAnsi="Times New Roman" w:cs="Times New Roman"/>
                <w:kern w:val="0"/>
                <w:lang w:bidi="ar-SA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</w:tr>
      <w:tr w:rsidR="004F77AD">
        <w:trPr>
          <w:trHeight w:val="233"/>
        </w:trPr>
        <w:tc>
          <w:tcPr>
            <w:tcW w:w="851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90</w:t>
            </w:r>
          </w:p>
        </w:tc>
      </w:tr>
      <w:tr w:rsidR="004F77AD">
        <w:trPr>
          <w:trHeight w:val="252"/>
        </w:trPr>
        <w:tc>
          <w:tcPr>
            <w:tcW w:w="851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440" w:type="dxa"/>
            </w:tcMar>
            <w:vAlign w:val="center"/>
          </w:tcPr>
          <w:p w:rsidR="004F77AD" w:rsidRDefault="002C7FE1">
            <w:pPr>
              <w:pStyle w:val="Normal0"/>
              <w:spacing w:line="276" w:lineRule="auto"/>
              <w:ind w:left="360"/>
              <w:jc w:val="center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val="en-US" w:eastAsia="pl-PL" w:bidi="ar-SA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440" w:type="dxa"/>
            </w:tcMar>
            <w:vAlign w:val="center"/>
          </w:tcPr>
          <w:p w:rsidR="004F77AD" w:rsidRDefault="00601553">
            <w:pPr>
              <w:pStyle w:val="Normal0"/>
              <w:spacing w:line="276" w:lineRule="auto"/>
              <w:ind w:left="360"/>
              <w:jc w:val="both"/>
              <w:rPr>
                <w:rFonts w:eastAsia="Arial Unicode MS" w:hint="eastAsia"/>
                <w:kern w:val="0"/>
                <w:lang w:eastAsia="pl-PL" w:bidi="ar-SA"/>
              </w:rPr>
            </w:pPr>
            <w:r>
              <w:rPr>
                <w:rFonts w:ascii="Arial" w:eastAsia="Arial Unicode MS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</w:tr>
    </w:tbl>
    <w:p w:rsidR="004F77AD" w:rsidRDefault="004F77AD">
      <w:pPr>
        <w:pStyle w:val="Normal0"/>
        <w:ind w:left="108" w:hanging="108"/>
        <w:rPr>
          <w:rFonts w:hint="eastAsia"/>
        </w:rPr>
      </w:pPr>
    </w:p>
    <w:sectPr w:rsidR="004F77A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4F77AD"/>
    <w:rsid w:val="002C7FE1"/>
    <w:rsid w:val="004F77AD"/>
    <w:rsid w:val="0060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ormal0">
    <w:name w:val="Normal0"/>
    <w:qFormat/>
    <w:pPr>
      <w:widowControl w:val="0"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qFormat/>
    <w:pPr>
      <w:widowControl w:val="0"/>
    </w:pPr>
    <w:rPr>
      <w:rFonts w:ascii="Helvetica Neue" w:hAnsi="Helvetica Neue" w:cs="Arial Unicode MS"/>
      <w:color w:val="000000"/>
      <w:sz w:val="22"/>
      <w:szCs w:val="22"/>
      <w:u w:color="000000"/>
      <w:lang w:val="es-ES_tradnl"/>
    </w:rPr>
  </w:style>
  <w:style w:type="paragraph" w:customStyle="1" w:styleId="Zawartotabeli">
    <w:name w:val="Zawartość tabeli"/>
    <w:qFormat/>
    <w:pPr>
      <w:widowControl w:val="0"/>
    </w:pPr>
    <w:rPr>
      <w:rFonts w:cs="Arial Unicode MS"/>
      <w:color w:val="000000"/>
      <w:u w:color="000000"/>
    </w:rPr>
  </w:style>
  <w:style w:type="paragraph" w:styleId="Tekstdymka">
    <w:name w:val="Balloon Text"/>
    <w:qFormat/>
    <w:pPr>
      <w:widowControl w:val="0"/>
    </w:pPr>
    <w:rPr>
      <w:rFonts w:ascii="Tahoma" w:hAnsi="Tahoma" w:cs="Arial Unicode MS"/>
      <w:color w:val="000000"/>
      <w:sz w:val="16"/>
      <w:szCs w:val="16"/>
      <w:u w:color="000000"/>
      <w:lang w:val="de-DE"/>
    </w:rPr>
  </w:style>
  <w:style w:type="paragraph" w:customStyle="1" w:styleId="Body">
    <w:name w:val="Body"/>
    <w:qFormat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qFormat/>
    <w:pPr>
      <w:widowControl w:val="0"/>
      <w:ind w:left="720"/>
    </w:pPr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ormal0">
    <w:name w:val="Normal0"/>
    <w:qFormat/>
    <w:pPr>
      <w:widowControl w:val="0"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qFormat/>
    <w:pPr>
      <w:widowControl w:val="0"/>
    </w:pPr>
    <w:rPr>
      <w:rFonts w:ascii="Helvetica Neue" w:hAnsi="Helvetica Neue" w:cs="Arial Unicode MS"/>
      <w:color w:val="000000"/>
      <w:sz w:val="22"/>
      <w:szCs w:val="22"/>
      <w:u w:color="000000"/>
      <w:lang w:val="es-ES_tradnl"/>
    </w:rPr>
  </w:style>
  <w:style w:type="paragraph" w:customStyle="1" w:styleId="Zawartotabeli">
    <w:name w:val="Zawartość tabeli"/>
    <w:qFormat/>
    <w:pPr>
      <w:widowControl w:val="0"/>
    </w:pPr>
    <w:rPr>
      <w:rFonts w:cs="Arial Unicode MS"/>
      <w:color w:val="000000"/>
      <w:u w:color="000000"/>
    </w:rPr>
  </w:style>
  <w:style w:type="paragraph" w:styleId="Tekstdymka">
    <w:name w:val="Balloon Text"/>
    <w:qFormat/>
    <w:pPr>
      <w:widowControl w:val="0"/>
    </w:pPr>
    <w:rPr>
      <w:rFonts w:ascii="Tahoma" w:hAnsi="Tahoma" w:cs="Arial Unicode MS"/>
      <w:color w:val="000000"/>
      <w:sz w:val="16"/>
      <w:szCs w:val="16"/>
      <w:u w:color="000000"/>
      <w:lang w:val="de-DE"/>
    </w:rPr>
  </w:style>
  <w:style w:type="paragraph" w:customStyle="1" w:styleId="Body">
    <w:name w:val="Body"/>
    <w:qFormat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qFormat/>
    <w:pPr>
      <w:widowControl w:val="0"/>
      <w:ind w:left="720"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62A2566-DB60-489F-8F44-5F103AF51DBC}"/>
</file>

<file path=customXml/itemProps2.xml><?xml version="1.0" encoding="utf-8"?>
<ds:datastoreItem xmlns:ds="http://schemas.openxmlformats.org/officeDocument/2006/customXml" ds:itemID="{3BDF8441-6CFF-41E7-8EA8-9B75B8B4953E}"/>
</file>

<file path=customXml/itemProps3.xml><?xml version="1.0" encoding="utf-8"?>
<ds:datastoreItem xmlns:ds="http://schemas.openxmlformats.org/officeDocument/2006/customXml" ds:itemID="{9167DCEE-0FB8-430B-BA6A-14650691D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676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Renata Czop</cp:lastModifiedBy>
  <cp:revision>5</cp:revision>
  <dcterms:created xsi:type="dcterms:W3CDTF">2024-11-17T20:55:00Z</dcterms:created>
  <dcterms:modified xsi:type="dcterms:W3CDTF">2024-11-24T18:32:00Z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</Properties>
</file>